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7A1" w:rsidRDefault="005B67A1">
      <w:pPr>
        <w:pStyle w:val="Header"/>
        <w:spacing w:after="240"/>
        <w:jc w:val="center"/>
        <w:rPr>
          <w:rFonts w:ascii="Arial" w:hAnsi="Arial" w:cs="Arial"/>
          <w:b/>
          <w:bCs/>
          <w:u w:val="single"/>
        </w:rPr>
      </w:pPr>
      <w:bookmarkStart w:id="0" w:name="_GoBack"/>
      <w:bookmarkEnd w:id="0"/>
    </w:p>
    <w:p w:rsidR="005B67A1" w:rsidRDefault="005B67A1">
      <w:pPr>
        <w:pStyle w:val="Header"/>
        <w:spacing w:after="240"/>
        <w:jc w:val="center"/>
        <w:rPr>
          <w:rFonts w:ascii="Arial" w:hAnsi="Arial" w:cs="Arial"/>
          <w:b/>
          <w:bCs/>
        </w:rPr>
      </w:pPr>
      <w:r>
        <w:rPr>
          <w:rFonts w:ascii="Arial" w:hAnsi="Arial" w:cs="Arial"/>
          <w:b/>
          <w:bCs/>
          <w:u w:val="single"/>
        </w:rPr>
        <w:t xml:space="preserve">Risk </w:t>
      </w:r>
      <w:r>
        <w:rPr>
          <w:rFonts w:ascii="Arial" w:hAnsi="Arial" w:cs="Arial"/>
          <w:b/>
          <w:bCs/>
          <w:u w:val="single"/>
        </w:rPr>
        <w:sym w:font="Symbol" w:char="F0B9"/>
      </w:r>
      <w:r>
        <w:rPr>
          <w:rFonts w:ascii="Arial" w:hAnsi="Arial" w:cs="Arial"/>
          <w:b/>
          <w:bCs/>
          <w:u w:val="single"/>
        </w:rPr>
        <w:t xml:space="preserve"> Volatility; There </w:t>
      </w:r>
      <w:r>
        <w:rPr>
          <w:rFonts w:ascii="Arial" w:hAnsi="Arial" w:cs="Arial"/>
          <w:b/>
          <w:bCs/>
          <w:i/>
          <w:iCs/>
          <w:u w:val="single"/>
        </w:rPr>
        <w:t>Is</w:t>
      </w:r>
      <w:r>
        <w:rPr>
          <w:rFonts w:ascii="Arial" w:hAnsi="Arial" w:cs="Arial"/>
          <w:b/>
          <w:bCs/>
          <w:u w:val="single"/>
        </w:rPr>
        <w:t xml:space="preserve">  A Difference</w:t>
      </w:r>
    </w:p>
    <w:p w:rsidR="005B67A1" w:rsidRDefault="005B67A1">
      <w:pPr>
        <w:pStyle w:val="Header"/>
        <w:jc w:val="center"/>
        <w:rPr>
          <w:rFonts w:ascii="Arial" w:hAnsi="Arial" w:cs="Arial"/>
          <w:b/>
          <w:bCs/>
        </w:rPr>
      </w:pPr>
      <w:r>
        <w:rPr>
          <w:rFonts w:ascii="Arial" w:hAnsi="Arial" w:cs="Arial"/>
          <w:b/>
          <w:bCs/>
        </w:rPr>
        <w:t>Jason Apollo Voss</w:t>
      </w:r>
    </w:p>
    <w:p w:rsidR="005B67A1" w:rsidRDefault="005B67A1">
      <w:pPr>
        <w:pStyle w:val="Risk-Heading1"/>
        <w:spacing w:line="240" w:lineRule="auto"/>
      </w:pPr>
    </w:p>
    <w:p w:rsidR="005B67A1" w:rsidRDefault="005B67A1">
      <w:pPr>
        <w:pStyle w:val="Risk-Heading1"/>
        <w:spacing w:before="0" w:after="0" w:line="240" w:lineRule="auto"/>
        <w:rPr>
          <w:b w:val="0"/>
          <w:bCs w:val="0"/>
        </w:rPr>
      </w:pPr>
      <w:r>
        <w:rPr>
          <w:b w:val="0"/>
          <w:bCs w:val="0"/>
        </w:rPr>
        <w:t>Independent Study</w:t>
      </w:r>
    </w:p>
    <w:p w:rsidR="005B67A1" w:rsidRDefault="005B67A1">
      <w:pPr>
        <w:pStyle w:val="Risk-Heading1"/>
        <w:spacing w:before="0" w:after="0" w:line="240" w:lineRule="auto"/>
        <w:rPr>
          <w:b w:val="0"/>
          <w:bCs w:val="0"/>
        </w:rPr>
      </w:pPr>
      <w:r>
        <w:rPr>
          <w:b w:val="0"/>
          <w:bCs w:val="0"/>
        </w:rPr>
        <w:t>University of Colorado, Spring 1998</w:t>
      </w:r>
    </w:p>
    <w:p w:rsidR="005B67A1" w:rsidRDefault="005B67A1">
      <w:pPr>
        <w:pStyle w:val="Risk-Heading1"/>
        <w:spacing w:line="240" w:lineRule="auto"/>
      </w:pPr>
    </w:p>
    <w:p w:rsidR="005B67A1" w:rsidRDefault="005B67A1">
      <w:pPr>
        <w:pStyle w:val="Risk-Heading1"/>
        <w:spacing w:line="240" w:lineRule="auto"/>
      </w:pPr>
    </w:p>
    <w:p w:rsidR="005B67A1" w:rsidRDefault="005B67A1">
      <w:pPr>
        <w:pStyle w:val="Risk-Heading1"/>
        <w:spacing w:line="240" w:lineRule="auto"/>
      </w:pPr>
    </w:p>
    <w:p w:rsidR="005B67A1" w:rsidRDefault="005B67A1">
      <w:pPr>
        <w:pStyle w:val="Risk-Heading1"/>
        <w:spacing w:line="240" w:lineRule="auto"/>
      </w:pPr>
    </w:p>
    <w:p w:rsidR="005B67A1" w:rsidRDefault="005B67A1">
      <w:pPr>
        <w:pStyle w:val="Risk-Heading1"/>
        <w:spacing w:line="240" w:lineRule="auto"/>
      </w:pPr>
      <w:r>
        <w:t>Abstract</w:t>
      </w:r>
    </w:p>
    <w:p w:rsidR="005B67A1" w:rsidRDefault="005B67A1">
      <w:pPr>
        <w:ind w:left="720" w:right="720"/>
        <w:jc w:val="both"/>
        <w:rPr>
          <w:rFonts w:ascii="Arial" w:hAnsi="Arial" w:cs="Arial"/>
          <w:sz w:val="20"/>
          <w:szCs w:val="20"/>
        </w:rPr>
      </w:pPr>
      <w:r>
        <w:rPr>
          <w:rFonts w:ascii="Arial" w:hAnsi="Arial" w:cs="Arial"/>
          <w:sz w:val="20"/>
          <w:szCs w:val="20"/>
        </w:rPr>
        <w:tab/>
        <w:t xml:space="preserve">Traditional financial risk measures are based on statistical counterparts, such as variance, standard deviation, and the slope coefficient of linear regression (beta, in the parlance).  However, each of these statistical measures evaluates the </w:t>
      </w:r>
      <w:r>
        <w:rPr>
          <w:rFonts w:ascii="Arial" w:hAnsi="Arial" w:cs="Arial"/>
          <w:i/>
          <w:iCs/>
          <w:sz w:val="20"/>
          <w:szCs w:val="20"/>
        </w:rPr>
        <w:t>volatility</w:t>
      </w:r>
      <w:r>
        <w:rPr>
          <w:rFonts w:ascii="Arial" w:hAnsi="Arial" w:cs="Arial"/>
          <w:sz w:val="20"/>
          <w:szCs w:val="20"/>
        </w:rPr>
        <w:t xml:space="preserve"> inherent in a financial returns data series, not the </w:t>
      </w:r>
      <w:r>
        <w:rPr>
          <w:rFonts w:ascii="Arial" w:hAnsi="Arial" w:cs="Arial"/>
          <w:i/>
          <w:iCs/>
          <w:sz w:val="20"/>
          <w:szCs w:val="20"/>
        </w:rPr>
        <w:t>risk</w:t>
      </w:r>
      <w:r>
        <w:rPr>
          <w:rFonts w:ascii="Arial" w:hAnsi="Arial" w:cs="Arial"/>
          <w:sz w:val="20"/>
          <w:szCs w:val="20"/>
        </w:rPr>
        <w:t>.  This is because the definition of risk is the chance of loss.  Consequently, an investment's losses, and not its gains, are the source of its risk.</w:t>
      </w:r>
    </w:p>
    <w:p w:rsidR="005B67A1" w:rsidRDefault="005B67A1">
      <w:pPr>
        <w:ind w:left="720" w:right="720"/>
        <w:jc w:val="both"/>
        <w:rPr>
          <w:rFonts w:ascii="Arial" w:hAnsi="Arial" w:cs="Arial"/>
          <w:sz w:val="20"/>
          <w:szCs w:val="20"/>
        </w:rPr>
      </w:pPr>
      <w:r>
        <w:rPr>
          <w:rFonts w:ascii="Arial" w:hAnsi="Arial" w:cs="Arial"/>
          <w:sz w:val="20"/>
          <w:szCs w:val="20"/>
        </w:rPr>
        <w:tab/>
        <w:t>The traditional portfolio performance gauges are deficient by the most important criteria: the measurement of risk.  Alternate measures of risk are discussed, such as semi-standard deviation, and a proposed new measure, semi-beta.  These measures of risk are combined with returns to form risk-adjusted portfolio performance measures.  In order to demonstrate the differences between traditional and alternate risk measures, performance statistics have been calculated for a variety of asset classes, with surprising results.</w:t>
      </w:r>
    </w:p>
    <w:p w:rsidR="005B67A1" w:rsidRDefault="005B67A1">
      <w:pPr>
        <w:spacing w:before="120" w:after="120" w:line="360" w:lineRule="auto"/>
        <w:jc w:val="center"/>
        <w:rPr>
          <w:rFonts w:ascii="Arial" w:hAnsi="Arial" w:cs="Arial"/>
          <w:b/>
          <w:bCs/>
        </w:rPr>
      </w:pPr>
    </w:p>
    <w:p w:rsidR="005B67A1" w:rsidRDefault="005B67A1">
      <w:pPr>
        <w:spacing w:before="120" w:after="120" w:line="360" w:lineRule="auto"/>
        <w:jc w:val="center"/>
        <w:rPr>
          <w:rFonts w:ascii="Arial" w:hAnsi="Arial" w:cs="Arial"/>
          <w:b/>
          <w:bCs/>
        </w:rPr>
        <w:sectPr w:rsidR="005B67A1">
          <w:pgSz w:w="12240" w:h="15840"/>
          <w:pgMar w:top="1440" w:right="1440" w:bottom="1440" w:left="1440" w:header="720" w:footer="720" w:gutter="0"/>
          <w:cols w:space="720"/>
        </w:sectPr>
      </w:pPr>
    </w:p>
    <w:p w:rsidR="005B67A1" w:rsidRDefault="005B67A1">
      <w:pPr>
        <w:pStyle w:val="Risk-Heading1"/>
        <w:spacing w:line="240" w:lineRule="auto"/>
      </w:pPr>
      <w:r>
        <w:lastRenderedPageBreak/>
        <w:t>Part I: Defining Risk</w:t>
      </w:r>
    </w:p>
    <w:p w:rsidR="005B67A1" w:rsidRDefault="005B67A1">
      <w:pPr>
        <w:spacing w:line="360" w:lineRule="auto"/>
        <w:rPr>
          <w:rFonts w:ascii="Arial" w:hAnsi="Arial" w:cs="Arial"/>
          <w:sz w:val="20"/>
          <w:szCs w:val="20"/>
        </w:rPr>
      </w:pPr>
      <w:r>
        <w:rPr>
          <w:rFonts w:ascii="Arial" w:hAnsi="Arial" w:cs="Arial"/>
          <w:sz w:val="20"/>
          <w:szCs w:val="20"/>
        </w:rPr>
        <w:tab/>
        <w:t>Under the yoke of the efficient market hypothesis, investment companies and their portfolio managers have long suffered ridicule from academia.  The academics claim that investors are better off placing money in investment portfolios chosen by blind monkeys throwing darts or into a passively managed index fund rather than placing savings into an actively managed mutual fund.  This conclusion has always been drawn by comparing the risk-adjusted returns of portfolio managers with the risk-adjusted returns of "the market."  The author agrees that for appropriate comparisons to be made, one must use risk-adjusted returns to fully account for both risk premiums and the skill of the portfolio manager.  Because calculating investment returns is straightforward, the analysis of investment companies versus efficient markets hinges critically on how risk is measured.  Unfortunately, all of the popularly regarded risk standards fall short of fulfilling the duty of measuring risk.</w:t>
      </w:r>
    </w:p>
    <w:p w:rsidR="005B67A1" w:rsidRDefault="005B67A1">
      <w:pPr>
        <w:spacing w:line="360" w:lineRule="auto"/>
        <w:rPr>
          <w:rFonts w:ascii="Arial" w:hAnsi="Arial" w:cs="Arial"/>
          <w:sz w:val="20"/>
          <w:szCs w:val="20"/>
        </w:rPr>
      </w:pPr>
      <w:r>
        <w:rPr>
          <w:rFonts w:ascii="Arial" w:hAnsi="Arial" w:cs="Arial"/>
          <w:sz w:val="20"/>
          <w:szCs w:val="20"/>
        </w:rPr>
        <w:tab/>
        <w:t>Agreement as to the definition of risk must be had before a discussion of the topic and evaluation of current risk standards can begin.  Both Webster's, and the Oxford English Dictionary define risk as the chance of loss.  Dictionary definitions and popular understandings of risk might differ from a business definition, yet a popular business dictionary describes over thirteen different forms of risk, ranging from exchange risk to unsystematic risk, all of which focus on the chance of loss.  The insurance business is an industry critically dependent upon an understanding of risk, and an insurance licensing tutorial</w:t>
      </w:r>
      <w:r>
        <w:rPr>
          <w:rStyle w:val="FootnoteReference"/>
          <w:rFonts w:ascii="Arial" w:hAnsi="Arial" w:cs="Arial"/>
          <w:sz w:val="20"/>
          <w:szCs w:val="20"/>
        </w:rPr>
        <w:footnoteReference w:id="1"/>
      </w:r>
      <w:r>
        <w:rPr>
          <w:rFonts w:ascii="Arial" w:hAnsi="Arial" w:cs="Arial"/>
          <w:sz w:val="20"/>
          <w:szCs w:val="20"/>
        </w:rPr>
        <w:t xml:space="preserve"> says that "Risk means the same thing in insurance that it does in everyday language.  Risk is the chance or uncertainty of loss."  The traditional investment academe's definition of risk stands in stark contrast to popular understandings of risk.  Almost unanimously, finance academics define risk as variability or volatility.</w:t>
      </w:r>
    </w:p>
    <w:p w:rsidR="005B67A1" w:rsidRDefault="005B67A1">
      <w:pPr>
        <w:spacing w:line="360" w:lineRule="auto"/>
        <w:rPr>
          <w:rFonts w:ascii="Arial" w:hAnsi="Arial" w:cs="Arial"/>
          <w:sz w:val="20"/>
          <w:szCs w:val="20"/>
        </w:rPr>
      </w:pPr>
      <w:r>
        <w:rPr>
          <w:rFonts w:ascii="Arial" w:hAnsi="Arial" w:cs="Arial"/>
          <w:sz w:val="20"/>
          <w:szCs w:val="20"/>
        </w:rPr>
        <w:tab/>
        <w:t xml:space="preserve">A question frequently overlooked in academic discussions is why is portfolio evaluation important in the first place?  The answer is to provide investors with better information about the additional performance added by a given portfolio manager or to evaluate the performance of a given set of investments.  So, how would most investors define risk?  Would they be concerned that their investment has returned more, on a risk-adjusted basis, than a benchmark index?  Or would they be more concerned that their investment has returned less, on a risk-adjusted basis, than a benchmark index?  Some investors equate risk with investment losses, not with investment gains (the notable exception being short sellers).  Why, then, does academia define risk as volatility?  The answer is that if financial risk is allowed to mean volatility then traditional statistics and its many models can be used </w:t>
      </w:r>
      <w:r>
        <w:rPr>
          <w:rFonts w:ascii="Arial" w:hAnsi="Arial" w:cs="Arial"/>
          <w:b/>
          <w:bCs/>
          <w:sz w:val="20"/>
          <w:szCs w:val="20"/>
        </w:rPr>
        <w:t>without modification</w:t>
      </w:r>
      <w:r>
        <w:rPr>
          <w:rFonts w:ascii="Arial" w:hAnsi="Arial" w:cs="Arial"/>
          <w:sz w:val="20"/>
          <w:szCs w:val="20"/>
        </w:rPr>
        <w:t>.  That is, if a true definition of risk is used, hundreds of years of statistical theory cannot be used for financial analysis.  The important question is whether or not statistical volatility is a valid proxy for risk.</w:t>
      </w:r>
    </w:p>
    <w:p w:rsidR="005B67A1" w:rsidRDefault="005B67A1">
      <w:pPr>
        <w:pStyle w:val="Risk-Heading1"/>
        <w:spacing w:line="240" w:lineRule="auto"/>
      </w:pPr>
      <w:r>
        <w:t>Part II: Traditional Volatility-Adjusted Portfolio Performance Measures</w:t>
      </w:r>
    </w:p>
    <w:p w:rsidR="005B67A1" w:rsidRDefault="005B67A1">
      <w:pPr>
        <w:spacing w:line="360" w:lineRule="auto"/>
        <w:rPr>
          <w:rFonts w:ascii="Arial" w:hAnsi="Arial" w:cs="Arial"/>
          <w:sz w:val="20"/>
          <w:szCs w:val="20"/>
        </w:rPr>
      </w:pPr>
      <w:r>
        <w:rPr>
          <w:rFonts w:ascii="Arial" w:hAnsi="Arial" w:cs="Arial"/>
          <w:sz w:val="20"/>
          <w:szCs w:val="20"/>
        </w:rPr>
        <w:tab/>
        <w:t>The author assumes that the reader is familiar with the following measures, thus what follows is only a cursory discussion.  Please refer to the appendix to see how each measure is formally calculated.</w:t>
      </w:r>
    </w:p>
    <w:p w:rsidR="005B67A1" w:rsidRDefault="005B67A1">
      <w:pPr>
        <w:spacing w:line="360" w:lineRule="auto"/>
        <w:rPr>
          <w:rFonts w:ascii="Arial" w:hAnsi="Arial" w:cs="Arial"/>
          <w:sz w:val="20"/>
          <w:szCs w:val="20"/>
        </w:rPr>
      </w:pPr>
      <w:r>
        <w:rPr>
          <w:rFonts w:ascii="Arial" w:hAnsi="Arial" w:cs="Arial"/>
          <w:sz w:val="20"/>
          <w:szCs w:val="20"/>
        </w:rPr>
        <w:lastRenderedPageBreak/>
        <w:tab/>
        <w:t>The most basic investment risk measures are the variance (</w:t>
      </w:r>
      <w:r>
        <w:rPr>
          <w:rFonts w:ascii="Symbol" w:hAnsi="Symbol" w:cs="Symbol"/>
          <w:sz w:val="20"/>
          <w:szCs w:val="20"/>
        </w:rPr>
        <w:t></w:t>
      </w:r>
      <w:r>
        <w:rPr>
          <w:rFonts w:ascii="Arial" w:hAnsi="Arial" w:cs="Arial"/>
          <w:sz w:val="20"/>
          <w:szCs w:val="20"/>
          <w:vertAlign w:val="superscript"/>
        </w:rPr>
        <w:t>2</w:t>
      </w:r>
      <w:r>
        <w:rPr>
          <w:rFonts w:ascii="Arial" w:hAnsi="Arial" w:cs="Arial"/>
          <w:sz w:val="20"/>
          <w:szCs w:val="20"/>
        </w:rPr>
        <w:t>) and its fraternal twin, the standard deviation (</w:t>
      </w:r>
      <w:r>
        <w:rPr>
          <w:rFonts w:ascii="Symbol" w:hAnsi="Symbol" w:cs="Symbol"/>
          <w:sz w:val="20"/>
          <w:szCs w:val="20"/>
        </w:rPr>
        <w:t></w:t>
      </w:r>
      <w:r>
        <w:rPr>
          <w:rFonts w:ascii="Arial" w:hAnsi="Arial" w:cs="Arial"/>
          <w:sz w:val="20"/>
          <w:szCs w:val="20"/>
        </w:rPr>
        <w:t xml:space="preserve">).  These measures are no different from the </w:t>
      </w:r>
      <w:r>
        <w:rPr>
          <w:rFonts w:ascii="Symbol" w:hAnsi="Symbol" w:cs="Symbol"/>
          <w:sz w:val="20"/>
          <w:szCs w:val="20"/>
        </w:rPr>
        <w:t></w:t>
      </w:r>
      <w:r>
        <w:rPr>
          <w:rFonts w:ascii="Symbol" w:hAnsi="Symbol" w:cs="Symbol"/>
          <w:sz w:val="20"/>
          <w:szCs w:val="20"/>
          <w:vertAlign w:val="superscript"/>
        </w:rPr>
        <w:t></w:t>
      </w:r>
      <w:r>
        <w:rPr>
          <w:rFonts w:ascii="Arial" w:hAnsi="Arial" w:cs="Arial"/>
          <w:sz w:val="20"/>
          <w:szCs w:val="20"/>
        </w:rPr>
        <w:t xml:space="preserve"> and </w:t>
      </w:r>
      <w:r>
        <w:rPr>
          <w:rFonts w:ascii="Symbol" w:hAnsi="Symbol" w:cs="Symbol"/>
          <w:sz w:val="20"/>
          <w:szCs w:val="20"/>
        </w:rPr>
        <w:t></w:t>
      </w:r>
      <w:r>
        <w:rPr>
          <w:rFonts w:ascii="Arial" w:hAnsi="Arial" w:cs="Arial"/>
          <w:sz w:val="20"/>
          <w:szCs w:val="20"/>
        </w:rPr>
        <w:t xml:space="preserve"> of statistics.  The next basic measure of financial risk is </w:t>
      </w:r>
      <w:r>
        <w:rPr>
          <w:rFonts w:ascii="Symbol" w:hAnsi="Symbol" w:cs="Symbol"/>
          <w:i/>
          <w:iCs/>
          <w:sz w:val="20"/>
          <w:szCs w:val="20"/>
        </w:rPr>
        <w:t></w:t>
      </w:r>
      <w:r>
        <w:rPr>
          <w:rFonts w:ascii="Arial" w:hAnsi="Arial" w:cs="Arial"/>
          <w:sz w:val="20"/>
          <w:szCs w:val="20"/>
        </w:rPr>
        <w:t xml:space="preserve"> or beta.  The concept of </w:t>
      </w:r>
      <w:r>
        <w:rPr>
          <w:rFonts w:ascii="Symbol" w:hAnsi="Symbol" w:cs="Symbol"/>
          <w:i/>
          <w:iCs/>
          <w:sz w:val="20"/>
          <w:szCs w:val="20"/>
        </w:rPr>
        <w:t></w:t>
      </w:r>
      <w:r>
        <w:rPr>
          <w:rFonts w:ascii="Arial" w:hAnsi="Arial" w:cs="Arial"/>
          <w:sz w:val="20"/>
          <w:szCs w:val="20"/>
        </w:rPr>
        <w:t xml:space="preserve"> was created by Sharpe as a part of his capital asset pricing model (CAPM).  Both </w:t>
      </w:r>
      <w:r>
        <w:rPr>
          <w:rFonts w:ascii="Symbol" w:hAnsi="Symbol" w:cs="Symbol"/>
          <w:sz w:val="20"/>
          <w:szCs w:val="20"/>
        </w:rPr>
        <w:t></w:t>
      </w:r>
      <w:r>
        <w:rPr>
          <w:rFonts w:ascii="Arial" w:hAnsi="Arial" w:cs="Arial"/>
          <w:sz w:val="20"/>
          <w:szCs w:val="20"/>
        </w:rPr>
        <w:t xml:space="preserve"> and </w:t>
      </w:r>
      <w:r>
        <w:rPr>
          <w:rFonts w:ascii="Symbol" w:hAnsi="Symbol" w:cs="Symbol"/>
          <w:i/>
          <w:iCs/>
          <w:sz w:val="20"/>
          <w:szCs w:val="20"/>
        </w:rPr>
        <w:t></w:t>
      </w:r>
      <w:r>
        <w:rPr>
          <w:rFonts w:ascii="Arial" w:hAnsi="Arial" w:cs="Arial"/>
          <w:sz w:val="20"/>
          <w:szCs w:val="20"/>
        </w:rPr>
        <w:t xml:space="preserve"> provide the foundation for traditional risk adjusted return performance evaluation.</w:t>
      </w:r>
    </w:p>
    <w:p w:rsidR="005B67A1" w:rsidRDefault="005B67A1">
      <w:pPr>
        <w:spacing w:line="360" w:lineRule="auto"/>
        <w:rPr>
          <w:rFonts w:ascii="Arial" w:hAnsi="Arial" w:cs="Arial"/>
          <w:sz w:val="20"/>
          <w:szCs w:val="20"/>
        </w:rPr>
      </w:pPr>
      <w:r>
        <w:rPr>
          <w:rFonts w:ascii="Arial" w:hAnsi="Arial" w:cs="Arial"/>
          <w:sz w:val="20"/>
          <w:szCs w:val="20"/>
        </w:rPr>
        <w:tab/>
        <w:t xml:space="preserve">Jack L. Treynor is responsible for the creation of the first composite risk-return measure of asset performance, known as the Treynor ratio (a.k.a. the Reward-to-Volatility Ratio).  Very similar to the Treynor ratio is the Sharpe ratio (a.k.a. the Reward-to-Variability Ratio).  The Jensen measure (a.k.a. </w:t>
      </w:r>
      <w:r>
        <w:rPr>
          <w:rFonts w:ascii="Symbol" w:hAnsi="Symbol" w:cs="Symbol"/>
          <w:sz w:val="20"/>
          <w:szCs w:val="20"/>
        </w:rPr>
        <w:t></w:t>
      </w:r>
      <w:r>
        <w:rPr>
          <w:rFonts w:ascii="Arial" w:hAnsi="Arial" w:cs="Arial"/>
          <w:sz w:val="20"/>
          <w:szCs w:val="20"/>
        </w:rPr>
        <w:t xml:space="preserve"> or alpha) is related to both the Treynor ratio and the Sharpe ratio, in that it is also derived from the capital asset pricing model.</w:t>
      </w:r>
    </w:p>
    <w:p w:rsidR="005B67A1" w:rsidRDefault="005B67A1">
      <w:pPr>
        <w:spacing w:line="360" w:lineRule="auto"/>
        <w:rPr>
          <w:rFonts w:ascii="Arial" w:hAnsi="Arial" w:cs="Arial"/>
          <w:sz w:val="20"/>
          <w:szCs w:val="20"/>
        </w:rPr>
      </w:pPr>
      <w:r>
        <w:rPr>
          <w:rFonts w:ascii="Arial" w:hAnsi="Arial" w:cs="Arial"/>
          <w:sz w:val="20"/>
          <w:szCs w:val="20"/>
        </w:rPr>
        <w:tab/>
        <w:t>Each of the traditional measures accounts for statistical volatility and not for risk.  There is no provision in any of their calculations to distinguish between upside and downside performance.  Ideally, risk measures should only take into account unsatisfactory results if they are to measure up to most investors' definition of risk.  However, according to Sharpe, portfolio ranking results which make use of some sort of downside risk measure "will be the same if the probability distribution is symmetric, as is the normal distribution.  Why?  Because the left side of a symmetric distribution is a mirror image of the right side.  Thus, a list of portfolios ordered on the basis of 'downside risk' will not differ from one ordered on the basis of standard deviation if returns are normally distributed."</w:t>
      </w:r>
      <w:r>
        <w:rPr>
          <w:rStyle w:val="FootnoteReference"/>
          <w:rFonts w:ascii="Arial" w:hAnsi="Arial" w:cs="Arial"/>
          <w:sz w:val="20"/>
          <w:szCs w:val="20"/>
        </w:rPr>
        <w:footnoteReference w:id="2"/>
      </w:r>
      <w:r>
        <w:rPr>
          <w:rFonts w:ascii="Arial" w:hAnsi="Arial" w:cs="Arial"/>
          <w:sz w:val="20"/>
          <w:szCs w:val="20"/>
        </w:rPr>
        <w:t xml:space="preserve">  Normal distribution is the issue to which we turn our attention next.</w:t>
      </w:r>
    </w:p>
    <w:p w:rsidR="005B67A1" w:rsidRDefault="005B67A1">
      <w:pPr>
        <w:pStyle w:val="Risk-Heading1"/>
        <w:spacing w:line="240" w:lineRule="auto"/>
      </w:pPr>
      <w:r>
        <w:t>Part III: Evidence That Some Asset Classes' Returns Are Non-Normal</w:t>
      </w:r>
    </w:p>
    <w:p w:rsidR="005B67A1" w:rsidRDefault="005B67A1">
      <w:pPr>
        <w:spacing w:line="360" w:lineRule="auto"/>
        <w:rPr>
          <w:rFonts w:ascii="Arial" w:hAnsi="Arial" w:cs="Arial"/>
          <w:sz w:val="20"/>
          <w:szCs w:val="20"/>
        </w:rPr>
      </w:pPr>
      <w:r>
        <w:rPr>
          <w:rFonts w:ascii="Arial" w:hAnsi="Arial" w:cs="Arial"/>
          <w:sz w:val="20"/>
          <w:szCs w:val="20"/>
        </w:rPr>
        <w:tab/>
        <w:t xml:space="preserve">To determine whether or not money manager returns are normally distributed, Nelson's </w:t>
      </w:r>
      <w:r>
        <w:rPr>
          <w:rFonts w:ascii="Arial" w:hAnsi="Arial" w:cs="Arial"/>
          <w:i/>
          <w:iCs/>
          <w:sz w:val="20"/>
          <w:szCs w:val="20"/>
        </w:rPr>
        <w:t>Marketplace</w:t>
      </w:r>
      <w:r>
        <w:rPr>
          <w:rFonts w:ascii="Arial" w:hAnsi="Arial" w:cs="Arial"/>
          <w:sz w:val="20"/>
          <w:szCs w:val="20"/>
        </w:rPr>
        <w:t xml:space="preserve"> database of money manager returns was utilized.  The time period examined was the first quarter of 1987 to the second quarter of 1997 (42 quarters).  A total of 2,216 money managers were examined.  The money managers were divided by the predominant type of asset(s) held within the portfolio and were: non-U.S. balanced, non-U.S. derivatives/currency, non-U.S. equity, non-U.S. fixed income, U.S. balanced, U.S. derivatives/currency, U.S. equity, U.S. fixed income, and other.</w:t>
      </w:r>
    </w:p>
    <w:p w:rsidR="005B67A1" w:rsidRDefault="005B67A1">
      <w:pPr>
        <w:spacing w:line="360" w:lineRule="auto"/>
        <w:rPr>
          <w:rFonts w:ascii="Arial" w:hAnsi="Arial" w:cs="Arial"/>
          <w:sz w:val="20"/>
          <w:szCs w:val="20"/>
        </w:rPr>
      </w:pPr>
      <w:r>
        <w:rPr>
          <w:rFonts w:ascii="Arial" w:hAnsi="Arial" w:cs="Arial"/>
          <w:sz w:val="20"/>
          <w:szCs w:val="20"/>
        </w:rPr>
        <w:tab/>
        <w:t>Eugene Fama's studentized range technique was applied to the database to determine if returns were normally distributed.</w:t>
      </w:r>
      <w:r>
        <w:rPr>
          <w:rStyle w:val="FootnoteReference"/>
          <w:rFonts w:ascii="Arial" w:hAnsi="Arial" w:cs="Arial"/>
          <w:sz w:val="20"/>
          <w:szCs w:val="20"/>
        </w:rPr>
        <w:footnoteReference w:id="3"/>
      </w:r>
      <w:r>
        <w:rPr>
          <w:rFonts w:ascii="Arial" w:hAnsi="Arial" w:cs="Arial"/>
          <w:sz w:val="20"/>
          <w:szCs w:val="20"/>
        </w:rPr>
        <w:t xml:space="preserve">  The studentized range (SR) is calculated as:</w:t>
      </w:r>
    </w:p>
    <w:p w:rsidR="005B67A1" w:rsidRDefault="005B67A1">
      <w:pPr>
        <w:spacing w:line="360" w:lineRule="auto"/>
        <w:jc w:val="center"/>
        <w:rPr>
          <w:rFonts w:ascii="Arial" w:hAnsi="Arial" w:cs="Arial"/>
          <w:sz w:val="20"/>
          <w:szCs w:val="20"/>
        </w:rPr>
      </w:pPr>
      <w:r>
        <w:rPr>
          <w:rFonts w:ascii="Arial" w:hAnsi="Arial" w:cs="Arial"/>
          <w:sz w:val="20"/>
          <w:szCs w:val="20"/>
        </w:rPr>
        <w:t xml:space="preserve">SR = </w:t>
      </w:r>
      <w:r w:rsidR="005F38F5">
        <w:rPr>
          <w:rFonts w:ascii="Arial" w:hAnsi="Arial" w:cs="Arial"/>
          <w:position w:val="-28"/>
          <w:sz w:val="20"/>
          <w:szCs w:val="20"/>
        </w:rPr>
        <w:object w:dxaOrig="19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0.75pt" o:ole="" fillcolor="window">
            <v:imagedata r:id="rId7" o:title=""/>
          </v:shape>
          <o:OLEObject Type="Embed" ProgID="Equation.3" ShapeID="_x0000_i1025" DrawAspect="Content" ObjectID="_1501941729" r:id="rId8"/>
        </w:object>
      </w:r>
    </w:p>
    <w:p w:rsidR="005B67A1" w:rsidRDefault="005B67A1">
      <w:pPr>
        <w:spacing w:line="360" w:lineRule="auto"/>
        <w:jc w:val="center"/>
        <w:rPr>
          <w:rFonts w:ascii="Arial" w:hAnsi="Arial" w:cs="Arial"/>
          <w:sz w:val="20"/>
          <w:szCs w:val="20"/>
        </w:rPr>
      </w:pPr>
    </w:p>
    <w:p w:rsidR="005B67A1" w:rsidRDefault="005B67A1">
      <w:pPr>
        <w:spacing w:line="360" w:lineRule="auto"/>
        <w:rPr>
          <w:rFonts w:ascii="Arial" w:hAnsi="Arial" w:cs="Arial"/>
          <w:sz w:val="20"/>
          <w:szCs w:val="20"/>
        </w:rPr>
      </w:pPr>
      <w:r>
        <w:rPr>
          <w:rFonts w:ascii="Arial" w:hAnsi="Arial" w:cs="Arial"/>
          <w:sz w:val="20"/>
          <w:szCs w:val="20"/>
        </w:rPr>
        <w:t>The SR value for each money manager is compared to a critical value and if the SR value exceeds the critical value then the returns are determined to be non-normal.</w:t>
      </w:r>
    </w:p>
    <w:p w:rsidR="005B67A1" w:rsidRDefault="005B67A1">
      <w:pPr>
        <w:spacing w:line="360" w:lineRule="auto"/>
        <w:rPr>
          <w:rFonts w:ascii="Arial" w:hAnsi="Arial" w:cs="Arial"/>
          <w:sz w:val="20"/>
          <w:szCs w:val="20"/>
        </w:rPr>
      </w:pPr>
      <w:r>
        <w:rPr>
          <w:rFonts w:ascii="Arial" w:hAnsi="Arial" w:cs="Arial"/>
          <w:sz w:val="20"/>
          <w:szCs w:val="20"/>
        </w:rPr>
        <w:lastRenderedPageBreak/>
        <w:tab/>
        <w:t>At the 95% significance level (critical value = 5.19) the returns for some of the asset classes were non normal.  However at the 99% significance level (critical value = 5.586), all money managers had normally distributed returns.  This means that the door cannot quite be shut on William Sharpe's argument.  Two summary statistics for each asset class have been calculated.  Namely, the average (arithmetic mean) SR for each asset class and the percentage of the money managers whose SR exceeded the critical value.  The results for each asset class are displayed in exhibit 1.</w:t>
      </w:r>
    </w:p>
    <w:p w:rsidR="005B67A1" w:rsidRDefault="005B67A1">
      <w:pPr>
        <w:spacing w:before="120" w:after="120"/>
        <w:jc w:val="center"/>
        <w:rPr>
          <w:rFonts w:ascii="Arial" w:hAnsi="Arial" w:cs="Arial"/>
          <w:b/>
          <w:bCs/>
          <w:color w:val="000000"/>
          <w:sz w:val="20"/>
          <w:szCs w:val="20"/>
        </w:rPr>
      </w:pPr>
      <w:r>
        <w:rPr>
          <w:rFonts w:ascii="Arial" w:hAnsi="Arial" w:cs="Arial"/>
          <w:b/>
          <w:bCs/>
          <w:color w:val="000000"/>
          <w:sz w:val="20"/>
          <w:szCs w:val="20"/>
        </w:rPr>
        <w:t>Exhibit 1: Money Managers With 42 Quarters of Data</w:t>
      </w:r>
    </w:p>
    <w:p w:rsidR="005B67A1" w:rsidRDefault="005B67A1">
      <w:pPr>
        <w:spacing w:after="120"/>
        <w:jc w:val="center"/>
        <w:rPr>
          <w:rFonts w:ascii="Arial" w:hAnsi="Arial" w:cs="Arial"/>
          <w:sz w:val="20"/>
          <w:szCs w:val="20"/>
        </w:rPr>
      </w:pPr>
      <w:r>
        <w:rPr>
          <w:rFonts w:ascii="Arial" w:hAnsi="Arial" w:cs="Arial"/>
          <w:i/>
          <w:iCs/>
          <w:color w:val="000000"/>
          <w:sz w:val="20"/>
          <w:szCs w:val="20"/>
        </w:rPr>
        <w:t>Studentized Range Results evaluated at the 95% and 99% significance levels</w:t>
      </w:r>
    </w:p>
    <w:tbl>
      <w:tblPr>
        <w:tblW w:w="0" w:type="auto"/>
        <w:tblLayout w:type="fixed"/>
        <w:tblCellMar>
          <w:left w:w="30" w:type="dxa"/>
          <w:right w:w="30" w:type="dxa"/>
        </w:tblCellMar>
        <w:tblLook w:val="0000" w:firstRow="0" w:lastRow="0" w:firstColumn="0" w:lastColumn="0" w:noHBand="0" w:noVBand="0"/>
      </w:tblPr>
      <w:tblGrid>
        <w:gridCol w:w="2856"/>
        <w:gridCol w:w="324"/>
        <w:gridCol w:w="1242"/>
        <w:gridCol w:w="1278"/>
        <w:gridCol w:w="958"/>
        <w:gridCol w:w="1054"/>
        <w:gridCol w:w="958"/>
      </w:tblGrid>
      <w:tr w:rsidR="005B67A1">
        <w:trPr>
          <w:trHeight w:val="264"/>
        </w:trPr>
        <w:tc>
          <w:tcPr>
            <w:tcW w:w="2856" w:type="dxa"/>
            <w:tcBorders>
              <w:top w:val="nil"/>
              <w:left w:val="nil"/>
              <w:bottom w:val="nil"/>
              <w:right w:val="nil"/>
            </w:tcBorders>
          </w:tcPr>
          <w:p w:rsidR="005B67A1" w:rsidRDefault="005B67A1">
            <w:pPr>
              <w:jc w:val="right"/>
              <w:rPr>
                <w:rFonts w:ascii="Arial" w:hAnsi="Arial" w:cs="Arial"/>
                <w:i/>
                <w:iCs/>
                <w:color w:val="000000"/>
                <w:sz w:val="20"/>
                <w:szCs w:val="20"/>
              </w:rPr>
            </w:pPr>
          </w:p>
        </w:tc>
        <w:tc>
          <w:tcPr>
            <w:tcW w:w="1566" w:type="dxa"/>
            <w:gridSpan w:val="2"/>
            <w:tcBorders>
              <w:top w:val="nil"/>
              <w:left w:val="nil"/>
              <w:bottom w:val="nil"/>
              <w:right w:val="nil"/>
            </w:tcBorders>
          </w:tcPr>
          <w:p w:rsidR="005B67A1" w:rsidRDefault="005B67A1">
            <w:pPr>
              <w:jc w:val="right"/>
              <w:rPr>
                <w:rFonts w:ascii="Arial" w:hAnsi="Arial" w:cs="Arial"/>
                <w:color w:val="000000"/>
                <w:sz w:val="20"/>
                <w:szCs w:val="20"/>
              </w:rPr>
            </w:pPr>
          </w:p>
        </w:tc>
        <w:tc>
          <w:tcPr>
            <w:tcW w:w="1278" w:type="dxa"/>
            <w:tcBorders>
              <w:top w:val="single" w:sz="12" w:space="0" w:color="000000"/>
              <w:left w:val="single" w:sz="12" w:space="0" w:color="000000"/>
              <w:bottom w:val="single" w:sz="12" w:space="0" w:color="000000"/>
              <w:right w:val="nil"/>
            </w:tcBorders>
            <w:shd w:val="pct5" w:color="auto" w:fill="auto"/>
          </w:tcPr>
          <w:p w:rsidR="005B67A1" w:rsidRDefault="005B67A1">
            <w:pPr>
              <w:jc w:val="right"/>
              <w:rPr>
                <w:rFonts w:ascii="Arial" w:hAnsi="Arial" w:cs="Arial"/>
                <w:color w:val="000000"/>
                <w:sz w:val="20"/>
                <w:szCs w:val="20"/>
              </w:rPr>
            </w:pPr>
            <w:r>
              <w:rPr>
                <w:rFonts w:ascii="Arial" w:hAnsi="Arial" w:cs="Arial"/>
                <w:b/>
                <w:bCs/>
                <w:color w:val="000000"/>
                <w:sz w:val="20"/>
                <w:szCs w:val="20"/>
              </w:rPr>
              <w:t xml:space="preserve">Significance </w:t>
            </w:r>
          </w:p>
        </w:tc>
        <w:tc>
          <w:tcPr>
            <w:tcW w:w="958" w:type="dxa"/>
            <w:tcBorders>
              <w:top w:val="single" w:sz="12" w:space="0" w:color="000000"/>
              <w:left w:val="nil"/>
              <w:bottom w:val="single" w:sz="12" w:space="0" w:color="000000"/>
              <w:right w:val="single" w:sz="12" w:space="0" w:color="000000"/>
            </w:tcBorders>
            <w:shd w:val="pct5" w:color="auto" w:fill="auto"/>
          </w:tcPr>
          <w:p w:rsidR="005B67A1" w:rsidRDefault="005B67A1">
            <w:pPr>
              <w:rPr>
                <w:rFonts w:ascii="Arial" w:hAnsi="Arial" w:cs="Arial"/>
                <w:b/>
                <w:bCs/>
                <w:color w:val="000000"/>
                <w:sz w:val="20"/>
                <w:szCs w:val="20"/>
              </w:rPr>
            </w:pPr>
            <w:r>
              <w:rPr>
                <w:rFonts w:ascii="Arial" w:hAnsi="Arial" w:cs="Arial"/>
                <w:b/>
                <w:bCs/>
                <w:color w:val="000000"/>
                <w:sz w:val="20"/>
                <w:szCs w:val="20"/>
              </w:rPr>
              <w:t>Level:</w:t>
            </w:r>
          </w:p>
        </w:tc>
        <w:tc>
          <w:tcPr>
            <w:tcW w:w="1054" w:type="dxa"/>
            <w:tcBorders>
              <w:top w:val="single" w:sz="12" w:space="0" w:color="000000"/>
              <w:left w:val="nil"/>
              <w:bottom w:val="single" w:sz="12" w:space="0" w:color="000000"/>
              <w:right w:val="nil"/>
            </w:tcBorders>
            <w:shd w:val="pct5" w:color="auto" w:fill="auto"/>
          </w:tcPr>
          <w:p w:rsidR="005B67A1" w:rsidRDefault="005B67A1">
            <w:pPr>
              <w:jc w:val="center"/>
              <w:rPr>
                <w:rFonts w:ascii="Arial" w:hAnsi="Arial" w:cs="Arial"/>
                <w:b/>
                <w:bCs/>
                <w:color w:val="000000"/>
                <w:sz w:val="20"/>
                <w:szCs w:val="20"/>
              </w:rPr>
            </w:pPr>
            <w:r>
              <w:rPr>
                <w:rFonts w:ascii="Arial" w:hAnsi="Arial" w:cs="Arial"/>
                <w:b/>
                <w:bCs/>
                <w:color w:val="000000"/>
                <w:sz w:val="20"/>
                <w:szCs w:val="20"/>
              </w:rPr>
              <w:t>95%</w:t>
            </w:r>
          </w:p>
        </w:tc>
        <w:tc>
          <w:tcPr>
            <w:tcW w:w="958" w:type="dxa"/>
            <w:tcBorders>
              <w:top w:val="single" w:sz="12" w:space="0" w:color="000000"/>
              <w:left w:val="dotted" w:sz="6" w:space="0" w:color="000000"/>
              <w:bottom w:val="single" w:sz="12" w:space="0" w:color="000000"/>
              <w:right w:val="single" w:sz="12" w:space="0" w:color="000000"/>
            </w:tcBorders>
            <w:shd w:val="pct5" w:color="auto" w:fill="auto"/>
          </w:tcPr>
          <w:p w:rsidR="005B67A1" w:rsidRDefault="005B67A1">
            <w:pPr>
              <w:jc w:val="center"/>
              <w:rPr>
                <w:rFonts w:ascii="Arial" w:hAnsi="Arial" w:cs="Arial"/>
                <w:b/>
                <w:bCs/>
                <w:color w:val="000000"/>
                <w:sz w:val="20"/>
                <w:szCs w:val="20"/>
              </w:rPr>
            </w:pPr>
            <w:r>
              <w:rPr>
                <w:rFonts w:ascii="Arial" w:hAnsi="Arial" w:cs="Arial"/>
                <w:b/>
                <w:bCs/>
                <w:color w:val="000000"/>
                <w:sz w:val="20"/>
                <w:szCs w:val="20"/>
              </w:rPr>
              <w:t>99%</w:t>
            </w:r>
          </w:p>
        </w:tc>
      </w:tr>
      <w:tr w:rsidR="005B67A1">
        <w:trPr>
          <w:trHeight w:val="264"/>
        </w:trPr>
        <w:tc>
          <w:tcPr>
            <w:tcW w:w="2856" w:type="dxa"/>
            <w:tcBorders>
              <w:top w:val="nil"/>
              <w:left w:val="nil"/>
              <w:bottom w:val="nil"/>
              <w:right w:val="nil"/>
            </w:tcBorders>
          </w:tcPr>
          <w:p w:rsidR="005B67A1" w:rsidRDefault="005B67A1">
            <w:pPr>
              <w:jc w:val="right"/>
              <w:rPr>
                <w:rFonts w:ascii="Arial" w:hAnsi="Arial" w:cs="Arial"/>
                <w:b/>
                <w:bCs/>
                <w:color w:val="000000"/>
                <w:sz w:val="20"/>
                <w:szCs w:val="20"/>
              </w:rPr>
            </w:pPr>
          </w:p>
        </w:tc>
        <w:tc>
          <w:tcPr>
            <w:tcW w:w="1566" w:type="dxa"/>
            <w:gridSpan w:val="2"/>
            <w:tcBorders>
              <w:top w:val="nil"/>
              <w:left w:val="nil"/>
              <w:bottom w:val="nil"/>
              <w:right w:val="nil"/>
            </w:tcBorders>
          </w:tcPr>
          <w:p w:rsidR="005B67A1" w:rsidRDefault="005B67A1">
            <w:pPr>
              <w:jc w:val="right"/>
              <w:rPr>
                <w:rFonts w:ascii="Arial" w:hAnsi="Arial" w:cs="Arial"/>
                <w:b/>
                <w:bCs/>
                <w:color w:val="000000"/>
                <w:sz w:val="20"/>
                <w:szCs w:val="20"/>
              </w:rPr>
            </w:pPr>
          </w:p>
        </w:tc>
        <w:tc>
          <w:tcPr>
            <w:tcW w:w="1278" w:type="dxa"/>
            <w:tcBorders>
              <w:top w:val="nil"/>
              <w:left w:val="single" w:sz="12" w:space="0" w:color="000000"/>
              <w:bottom w:val="single" w:sz="12" w:space="0" w:color="000000"/>
              <w:right w:val="nil"/>
            </w:tcBorders>
            <w:shd w:val="pct5" w:color="auto" w:fill="auto"/>
          </w:tcPr>
          <w:p w:rsidR="005B67A1" w:rsidRDefault="005B67A1">
            <w:pPr>
              <w:jc w:val="right"/>
              <w:rPr>
                <w:rFonts w:ascii="Arial" w:hAnsi="Arial" w:cs="Arial"/>
                <w:color w:val="000000"/>
                <w:sz w:val="20"/>
                <w:szCs w:val="20"/>
              </w:rPr>
            </w:pPr>
            <w:r>
              <w:rPr>
                <w:rFonts w:ascii="Arial" w:hAnsi="Arial" w:cs="Arial"/>
                <w:b/>
                <w:bCs/>
                <w:color w:val="000000"/>
                <w:sz w:val="20"/>
                <w:szCs w:val="20"/>
              </w:rPr>
              <w:t>Critical</w:t>
            </w:r>
          </w:p>
        </w:tc>
        <w:tc>
          <w:tcPr>
            <w:tcW w:w="958" w:type="dxa"/>
            <w:tcBorders>
              <w:top w:val="nil"/>
              <w:left w:val="nil"/>
              <w:bottom w:val="single" w:sz="12" w:space="0" w:color="000000"/>
              <w:right w:val="single" w:sz="12" w:space="0" w:color="000000"/>
            </w:tcBorders>
            <w:shd w:val="pct5" w:color="auto" w:fill="auto"/>
          </w:tcPr>
          <w:p w:rsidR="005B67A1" w:rsidRDefault="005B67A1">
            <w:pPr>
              <w:rPr>
                <w:rFonts w:ascii="Arial" w:hAnsi="Arial" w:cs="Arial"/>
                <w:b/>
                <w:bCs/>
                <w:color w:val="000000"/>
                <w:sz w:val="20"/>
                <w:szCs w:val="20"/>
              </w:rPr>
            </w:pPr>
            <w:r>
              <w:rPr>
                <w:rFonts w:ascii="Arial" w:hAnsi="Arial" w:cs="Arial"/>
                <w:b/>
                <w:bCs/>
                <w:color w:val="000000"/>
                <w:sz w:val="20"/>
                <w:szCs w:val="20"/>
              </w:rPr>
              <w:t>Value:</w:t>
            </w:r>
          </w:p>
        </w:tc>
        <w:tc>
          <w:tcPr>
            <w:tcW w:w="1054" w:type="dxa"/>
            <w:tcBorders>
              <w:top w:val="nil"/>
              <w:left w:val="nil"/>
              <w:bottom w:val="single" w:sz="12" w:space="0" w:color="000000"/>
              <w:right w:val="nil"/>
            </w:tcBorders>
            <w:shd w:val="pct5" w:color="auto" w:fill="auto"/>
          </w:tcPr>
          <w:p w:rsidR="005B67A1" w:rsidRDefault="005B67A1">
            <w:pPr>
              <w:jc w:val="center"/>
              <w:rPr>
                <w:rFonts w:ascii="Arial" w:hAnsi="Arial" w:cs="Arial"/>
                <w:b/>
                <w:bCs/>
                <w:color w:val="000000"/>
                <w:sz w:val="20"/>
                <w:szCs w:val="20"/>
              </w:rPr>
            </w:pPr>
            <w:r>
              <w:rPr>
                <w:rFonts w:ascii="Arial" w:hAnsi="Arial" w:cs="Arial"/>
                <w:b/>
                <w:bCs/>
                <w:color w:val="000000"/>
                <w:sz w:val="20"/>
                <w:szCs w:val="20"/>
              </w:rPr>
              <w:t xml:space="preserve">5.190 </w:t>
            </w:r>
          </w:p>
        </w:tc>
        <w:tc>
          <w:tcPr>
            <w:tcW w:w="958" w:type="dxa"/>
            <w:tcBorders>
              <w:top w:val="nil"/>
              <w:left w:val="dotted" w:sz="6" w:space="0" w:color="000000"/>
              <w:bottom w:val="single" w:sz="12" w:space="0" w:color="000000"/>
              <w:right w:val="single" w:sz="12" w:space="0" w:color="000000"/>
            </w:tcBorders>
            <w:shd w:val="pct5" w:color="auto" w:fill="auto"/>
          </w:tcPr>
          <w:p w:rsidR="005B67A1" w:rsidRDefault="005B67A1">
            <w:pPr>
              <w:jc w:val="center"/>
              <w:rPr>
                <w:rFonts w:ascii="Arial" w:hAnsi="Arial" w:cs="Arial"/>
                <w:b/>
                <w:bCs/>
                <w:color w:val="000000"/>
                <w:sz w:val="20"/>
                <w:szCs w:val="20"/>
              </w:rPr>
            </w:pPr>
            <w:r>
              <w:rPr>
                <w:rFonts w:ascii="Arial" w:hAnsi="Arial" w:cs="Arial"/>
                <w:b/>
                <w:bCs/>
                <w:color w:val="000000"/>
                <w:sz w:val="20"/>
                <w:szCs w:val="20"/>
              </w:rPr>
              <w:t>5.586</w:t>
            </w:r>
          </w:p>
        </w:tc>
      </w:tr>
      <w:tr w:rsidR="005B67A1">
        <w:trPr>
          <w:trHeight w:val="264"/>
        </w:trPr>
        <w:tc>
          <w:tcPr>
            <w:tcW w:w="3180" w:type="dxa"/>
            <w:gridSpan w:val="2"/>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20"/>
                <w:szCs w:val="20"/>
              </w:rPr>
            </w:pPr>
            <w:r>
              <w:rPr>
                <w:rFonts w:ascii="Arial" w:hAnsi="Arial" w:cs="Arial"/>
                <w:b/>
                <w:bCs/>
                <w:color w:val="000000"/>
                <w:sz w:val="20"/>
                <w:szCs w:val="20"/>
              </w:rPr>
              <w:t>Money Manager Asset Type</w:t>
            </w:r>
          </w:p>
        </w:tc>
        <w:tc>
          <w:tcPr>
            <w:tcW w:w="1242" w:type="dxa"/>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20"/>
                <w:szCs w:val="20"/>
              </w:rPr>
            </w:pPr>
            <w:r>
              <w:rPr>
                <w:rFonts w:ascii="Arial" w:hAnsi="Arial" w:cs="Arial"/>
                <w:b/>
                <w:bCs/>
                <w:color w:val="000000"/>
                <w:sz w:val="20"/>
                <w:szCs w:val="20"/>
              </w:rPr>
              <w:t># of Type of Mgr.</w:t>
            </w:r>
          </w:p>
        </w:tc>
        <w:tc>
          <w:tcPr>
            <w:tcW w:w="1278" w:type="dxa"/>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20"/>
                <w:szCs w:val="20"/>
              </w:rPr>
            </w:pPr>
            <w:r>
              <w:rPr>
                <w:rFonts w:ascii="Arial" w:hAnsi="Arial" w:cs="Arial"/>
                <w:b/>
                <w:bCs/>
                <w:color w:val="000000"/>
                <w:sz w:val="20"/>
                <w:szCs w:val="20"/>
              </w:rPr>
              <w:t>% of Total #</w:t>
            </w:r>
          </w:p>
        </w:tc>
        <w:tc>
          <w:tcPr>
            <w:tcW w:w="958" w:type="dxa"/>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20"/>
                <w:szCs w:val="20"/>
              </w:rPr>
            </w:pPr>
            <w:r>
              <w:rPr>
                <w:rFonts w:ascii="Arial" w:hAnsi="Arial" w:cs="Arial"/>
                <w:b/>
                <w:bCs/>
                <w:color w:val="000000"/>
                <w:sz w:val="20"/>
                <w:szCs w:val="20"/>
              </w:rPr>
              <w:t>Avg. SR</w:t>
            </w:r>
          </w:p>
        </w:tc>
        <w:tc>
          <w:tcPr>
            <w:tcW w:w="2012" w:type="dxa"/>
            <w:gridSpan w:val="2"/>
            <w:tcBorders>
              <w:top w:val="single" w:sz="12" w:space="0" w:color="000000"/>
              <w:left w:val="nil"/>
              <w:bottom w:val="single" w:sz="12" w:space="0" w:color="000000"/>
              <w:right w:val="single" w:sz="12" w:space="0" w:color="000000"/>
            </w:tcBorders>
          </w:tcPr>
          <w:p w:rsidR="005B67A1" w:rsidRDefault="005B67A1">
            <w:pPr>
              <w:jc w:val="center"/>
              <w:rPr>
                <w:rFonts w:ascii="Arial" w:hAnsi="Arial" w:cs="Arial"/>
                <w:b/>
                <w:bCs/>
                <w:color w:val="000000"/>
                <w:sz w:val="20"/>
                <w:szCs w:val="20"/>
              </w:rPr>
            </w:pPr>
            <w:r>
              <w:rPr>
                <w:rFonts w:ascii="Arial" w:hAnsi="Arial" w:cs="Arial"/>
                <w:b/>
                <w:bCs/>
                <w:color w:val="000000"/>
                <w:sz w:val="20"/>
                <w:szCs w:val="20"/>
              </w:rPr>
              <w:t>% &gt;= Critical Value</w:t>
            </w:r>
          </w:p>
        </w:tc>
      </w:tr>
      <w:tr w:rsidR="005B67A1">
        <w:trPr>
          <w:trHeight w:val="250"/>
        </w:trPr>
        <w:tc>
          <w:tcPr>
            <w:tcW w:w="3180" w:type="dxa"/>
            <w:gridSpan w:val="2"/>
            <w:tcBorders>
              <w:top w:val="single" w:sz="12" w:space="0" w:color="000000"/>
              <w:left w:val="single" w:sz="12" w:space="0" w:color="000000"/>
              <w:bottom w:val="nil"/>
              <w:right w:val="nil"/>
            </w:tcBorders>
          </w:tcPr>
          <w:p w:rsidR="005B67A1" w:rsidRDefault="005B67A1">
            <w:pPr>
              <w:rPr>
                <w:rFonts w:ascii="Arial" w:hAnsi="Arial" w:cs="Arial"/>
                <w:color w:val="000000"/>
                <w:sz w:val="20"/>
                <w:szCs w:val="20"/>
              </w:rPr>
            </w:pPr>
            <w:r>
              <w:rPr>
                <w:rFonts w:ascii="Arial" w:hAnsi="Arial" w:cs="Arial"/>
                <w:color w:val="000000"/>
                <w:sz w:val="20"/>
                <w:szCs w:val="20"/>
              </w:rPr>
              <w:t>Non-U.S. Balanced Accounts</w:t>
            </w:r>
          </w:p>
        </w:tc>
        <w:tc>
          <w:tcPr>
            <w:tcW w:w="1242" w:type="dxa"/>
            <w:tcBorders>
              <w:top w:val="single" w:sz="12" w:space="0" w:color="000000"/>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30</w:t>
            </w:r>
          </w:p>
        </w:tc>
        <w:tc>
          <w:tcPr>
            <w:tcW w:w="1278" w:type="dxa"/>
            <w:tcBorders>
              <w:top w:val="single" w:sz="12" w:space="0" w:color="000000"/>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1.35%</w:t>
            </w:r>
          </w:p>
        </w:tc>
        <w:tc>
          <w:tcPr>
            <w:tcW w:w="958" w:type="dxa"/>
            <w:tcBorders>
              <w:top w:val="nil"/>
              <w:left w:val="nil"/>
              <w:bottom w:val="nil"/>
              <w:right w:val="single" w:sz="12" w:space="0" w:color="000000"/>
            </w:tcBorders>
          </w:tcPr>
          <w:p w:rsidR="005B67A1" w:rsidRDefault="005B67A1">
            <w:pPr>
              <w:jc w:val="right"/>
              <w:rPr>
                <w:rFonts w:ascii="Arial" w:hAnsi="Arial" w:cs="Arial"/>
                <w:b/>
                <w:bCs/>
                <w:color w:val="000000"/>
                <w:sz w:val="20"/>
                <w:szCs w:val="20"/>
              </w:rPr>
            </w:pPr>
            <w:r>
              <w:rPr>
                <w:rFonts w:ascii="Arial" w:hAnsi="Arial" w:cs="Arial"/>
                <w:b/>
                <w:bCs/>
                <w:color w:val="000000"/>
                <w:sz w:val="20"/>
                <w:szCs w:val="20"/>
              </w:rPr>
              <w:t>5.21</w:t>
            </w:r>
          </w:p>
        </w:tc>
        <w:tc>
          <w:tcPr>
            <w:tcW w:w="1054" w:type="dxa"/>
            <w:tcBorders>
              <w:top w:val="nil"/>
              <w:left w:val="nil"/>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50.00%</w:t>
            </w:r>
          </w:p>
        </w:tc>
        <w:tc>
          <w:tcPr>
            <w:tcW w:w="958"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20.00%</w:t>
            </w:r>
          </w:p>
        </w:tc>
      </w:tr>
      <w:tr w:rsidR="005B67A1">
        <w:trPr>
          <w:trHeight w:val="250"/>
        </w:trPr>
        <w:tc>
          <w:tcPr>
            <w:tcW w:w="3180" w:type="dxa"/>
            <w:gridSpan w:val="2"/>
            <w:tcBorders>
              <w:top w:val="dotted" w:sz="6" w:space="0" w:color="auto"/>
              <w:left w:val="single" w:sz="12" w:space="0" w:color="000000"/>
              <w:bottom w:val="nil"/>
              <w:right w:val="nil"/>
            </w:tcBorders>
          </w:tcPr>
          <w:p w:rsidR="005B67A1" w:rsidRDefault="005B67A1">
            <w:pPr>
              <w:rPr>
                <w:rFonts w:ascii="Arial" w:hAnsi="Arial" w:cs="Arial"/>
                <w:color w:val="000000"/>
                <w:sz w:val="20"/>
                <w:szCs w:val="20"/>
              </w:rPr>
            </w:pPr>
            <w:r>
              <w:rPr>
                <w:rFonts w:ascii="Arial" w:hAnsi="Arial" w:cs="Arial"/>
                <w:color w:val="000000"/>
                <w:sz w:val="20"/>
                <w:szCs w:val="20"/>
              </w:rPr>
              <w:t>Non-U.S. Derivatives/Currency</w:t>
            </w:r>
          </w:p>
        </w:tc>
        <w:tc>
          <w:tcPr>
            <w:tcW w:w="1242" w:type="dxa"/>
            <w:tcBorders>
              <w:top w:val="dotted" w:sz="6" w:space="0" w:color="auto"/>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9</w:t>
            </w:r>
          </w:p>
        </w:tc>
        <w:tc>
          <w:tcPr>
            <w:tcW w:w="1278" w:type="dxa"/>
            <w:tcBorders>
              <w:top w:val="dotted" w:sz="6" w:space="0" w:color="auto"/>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0.41%</w:t>
            </w:r>
          </w:p>
        </w:tc>
        <w:tc>
          <w:tcPr>
            <w:tcW w:w="958" w:type="dxa"/>
            <w:tcBorders>
              <w:top w:val="dotted" w:sz="6" w:space="0" w:color="auto"/>
              <w:left w:val="nil"/>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5.01</w:t>
            </w:r>
          </w:p>
        </w:tc>
        <w:tc>
          <w:tcPr>
            <w:tcW w:w="1054" w:type="dxa"/>
            <w:tcBorders>
              <w:top w:val="dotted" w:sz="6" w:space="0" w:color="auto"/>
              <w:left w:val="nil"/>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44.44%</w:t>
            </w:r>
          </w:p>
        </w:tc>
        <w:tc>
          <w:tcPr>
            <w:tcW w:w="958" w:type="dxa"/>
            <w:tcBorders>
              <w:top w:val="dotted" w:sz="6" w:space="0" w:color="auto"/>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22.22%</w:t>
            </w:r>
          </w:p>
        </w:tc>
      </w:tr>
      <w:tr w:rsidR="005B67A1">
        <w:trPr>
          <w:trHeight w:val="250"/>
        </w:trPr>
        <w:tc>
          <w:tcPr>
            <w:tcW w:w="3180" w:type="dxa"/>
            <w:gridSpan w:val="2"/>
            <w:tcBorders>
              <w:top w:val="dotted" w:sz="6" w:space="0" w:color="auto"/>
              <w:left w:val="single" w:sz="12" w:space="0" w:color="000000"/>
              <w:bottom w:val="nil"/>
              <w:right w:val="nil"/>
            </w:tcBorders>
          </w:tcPr>
          <w:p w:rsidR="005B67A1" w:rsidRDefault="005B67A1">
            <w:pPr>
              <w:rPr>
                <w:rFonts w:ascii="Arial" w:hAnsi="Arial" w:cs="Arial"/>
                <w:color w:val="000000"/>
                <w:sz w:val="20"/>
                <w:szCs w:val="20"/>
              </w:rPr>
            </w:pPr>
            <w:r>
              <w:rPr>
                <w:rFonts w:ascii="Arial" w:hAnsi="Arial" w:cs="Arial"/>
                <w:color w:val="000000"/>
                <w:sz w:val="20"/>
                <w:szCs w:val="20"/>
              </w:rPr>
              <w:t>Non-U.S. Equity</w:t>
            </w:r>
          </w:p>
        </w:tc>
        <w:tc>
          <w:tcPr>
            <w:tcW w:w="1242" w:type="dxa"/>
            <w:tcBorders>
              <w:top w:val="dotted" w:sz="6" w:space="0" w:color="auto"/>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206</w:t>
            </w:r>
          </w:p>
        </w:tc>
        <w:tc>
          <w:tcPr>
            <w:tcW w:w="1278" w:type="dxa"/>
            <w:tcBorders>
              <w:top w:val="dotted" w:sz="6" w:space="0" w:color="auto"/>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9.30%</w:t>
            </w:r>
          </w:p>
        </w:tc>
        <w:tc>
          <w:tcPr>
            <w:tcW w:w="958" w:type="dxa"/>
            <w:tcBorders>
              <w:top w:val="dotted" w:sz="6" w:space="0" w:color="auto"/>
              <w:left w:val="nil"/>
              <w:bottom w:val="nil"/>
              <w:right w:val="single" w:sz="12" w:space="0" w:color="000000"/>
            </w:tcBorders>
          </w:tcPr>
          <w:p w:rsidR="005B67A1" w:rsidRDefault="005B67A1">
            <w:pPr>
              <w:jc w:val="right"/>
              <w:rPr>
                <w:rFonts w:ascii="Arial" w:hAnsi="Arial" w:cs="Arial"/>
                <w:b/>
                <w:bCs/>
                <w:color w:val="000000"/>
                <w:sz w:val="20"/>
                <w:szCs w:val="20"/>
              </w:rPr>
            </w:pPr>
            <w:r>
              <w:rPr>
                <w:rFonts w:ascii="Arial" w:hAnsi="Arial" w:cs="Arial"/>
                <w:b/>
                <w:bCs/>
                <w:color w:val="000000"/>
                <w:sz w:val="20"/>
                <w:szCs w:val="20"/>
              </w:rPr>
              <w:t>5.26</w:t>
            </w:r>
          </w:p>
        </w:tc>
        <w:tc>
          <w:tcPr>
            <w:tcW w:w="1054" w:type="dxa"/>
            <w:tcBorders>
              <w:top w:val="dotted" w:sz="6" w:space="0" w:color="auto"/>
              <w:left w:val="nil"/>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49.51%</w:t>
            </w:r>
          </w:p>
        </w:tc>
        <w:tc>
          <w:tcPr>
            <w:tcW w:w="958" w:type="dxa"/>
            <w:tcBorders>
              <w:top w:val="dotted" w:sz="6" w:space="0" w:color="auto"/>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27.67%</w:t>
            </w:r>
          </w:p>
        </w:tc>
      </w:tr>
      <w:tr w:rsidR="005B67A1">
        <w:trPr>
          <w:trHeight w:val="250"/>
        </w:trPr>
        <w:tc>
          <w:tcPr>
            <w:tcW w:w="3180" w:type="dxa"/>
            <w:gridSpan w:val="2"/>
            <w:tcBorders>
              <w:top w:val="dotted" w:sz="6" w:space="0" w:color="auto"/>
              <w:left w:val="single" w:sz="12" w:space="0" w:color="000000"/>
              <w:bottom w:val="nil"/>
              <w:right w:val="nil"/>
            </w:tcBorders>
          </w:tcPr>
          <w:p w:rsidR="005B67A1" w:rsidRDefault="005B67A1">
            <w:pPr>
              <w:rPr>
                <w:rFonts w:ascii="Arial" w:hAnsi="Arial" w:cs="Arial"/>
                <w:color w:val="000000"/>
                <w:sz w:val="20"/>
                <w:szCs w:val="20"/>
              </w:rPr>
            </w:pPr>
            <w:r>
              <w:rPr>
                <w:rFonts w:ascii="Arial" w:hAnsi="Arial" w:cs="Arial"/>
                <w:color w:val="000000"/>
                <w:sz w:val="20"/>
                <w:szCs w:val="20"/>
              </w:rPr>
              <w:t>Non-U.S. Fixed Income</w:t>
            </w:r>
          </w:p>
        </w:tc>
        <w:tc>
          <w:tcPr>
            <w:tcW w:w="1242" w:type="dxa"/>
            <w:tcBorders>
              <w:top w:val="dotted" w:sz="6" w:space="0" w:color="auto"/>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68</w:t>
            </w:r>
          </w:p>
        </w:tc>
        <w:tc>
          <w:tcPr>
            <w:tcW w:w="1278" w:type="dxa"/>
            <w:tcBorders>
              <w:top w:val="dotted" w:sz="6" w:space="0" w:color="auto"/>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3.07%</w:t>
            </w:r>
          </w:p>
        </w:tc>
        <w:tc>
          <w:tcPr>
            <w:tcW w:w="958" w:type="dxa"/>
            <w:tcBorders>
              <w:top w:val="dotted" w:sz="6" w:space="0" w:color="auto"/>
              <w:left w:val="nil"/>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4.75</w:t>
            </w:r>
          </w:p>
        </w:tc>
        <w:tc>
          <w:tcPr>
            <w:tcW w:w="1054" w:type="dxa"/>
            <w:tcBorders>
              <w:top w:val="dotted" w:sz="6" w:space="0" w:color="auto"/>
              <w:left w:val="nil"/>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26.47%</w:t>
            </w:r>
          </w:p>
        </w:tc>
        <w:tc>
          <w:tcPr>
            <w:tcW w:w="958" w:type="dxa"/>
            <w:tcBorders>
              <w:top w:val="dotted" w:sz="6" w:space="0" w:color="auto"/>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4.41%</w:t>
            </w:r>
          </w:p>
        </w:tc>
      </w:tr>
      <w:tr w:rsidR="005B67A1">
        <w:trPr>
          <w:trHeight w:val="250"/>
        </w:trPr>
        <w:tc>
          <w:tcPr>
            <w:tcW w:w="3180" w:type="dxa"/>
            <w:gridSpan w:val="2"/>
            <w:tcBorders>
              <w:top w:val="dotted" w:sz="6" w:space="0" w:color="auto"/>
              <w:left w:val="single" w:sz="12" w:space="0" w:color="000000"/>
              <w:bottom w:val="nil"/>
              <w:right w:val="nil"/>
            </w:tcBorders>
          </w:tcPr>
          <w:p w:rsidR="005B67A1" w:rsidRDefault="005B67A1">
            <w:pPr>
              <w:rPr>
                <w:rFonts w:ascii="Arial" w:hAnsi="Arial" w:cs="Arial"/>
                <w:color w:val="000000"/>
                <w:sz w:val="20"/>
                <w:szCs w:val="20"/>
              </w:rPr>
            </w:pPr>
            <w:r>
              <w:rPr>
                <w:rFonts w:ascii="Arial" w:hAnsi="Arial" w:cs="Arial"/>
                <w:color w:val="000000"/>
                <w:sz w:val="20"/>
                <w:szCs w:val="20"/>
              </w:rPr>
              <w:t>U.S. Balanced Accounts</w:t>
            </w:r>
          </w:p>
        </w:tc>
        <w:tc>
          <w:tcPr>
            <w:tcW w:w="1242" w:type="dxa"/>
            <w:tcBorders>
              <w:top w:val="dotted" w:sz="6" w:space="0" w:color="auto"/>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345</w:t>
            </w:r>
          </w:p>
        </w:tc>
        <w:tc>
          <w:tcPr>
            <w:tcW w:w="1278" w:type="dxa"/>
            <w:tcBorders>
              <w:top w:val="dotted" w:sz="6" w:space="0" w:color="auto"/>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15.57%</w:t>
            </w:r>
          </w:p>
        </w:tc>
        <w:tc>
          <w:tcPr>
            <w:tcW w:w="958" w:type="dxa"/>
            <w:tcBorders>
              <w:top w:val="dotted" w:sz="6" w:space="0" w:color="auto"/>
              <w:left w:val="nil"/>
              <w:bottom w:val="nil"/>
              <w:right w:val="single" w:sz="12" w:space="0" w:color="000000"/>
            </w:tcBorders>
          </w:tcPr>
          <w:p w:rsidR="005B67A1" w:rsidRDefault="005B67A1">
            <w:pPr>
              <w:jc w:val="right"/>
              <w:rPr>
                <w:rFonts w:ascii="Arial" w:hAnsi="Arial" w:cs="Arial"/>
                <w:b/>
                <w:bCs/>
                <w:color w:val="000000"/>
                <w:sz w:val="20"/>
                <w:szCs w:val="20"/>
              </w:rPr>
            </w:pPr>
            <w:r>
              <w:rPr>
                <w:rFonts w:ascii="Arial" w:hAnsi="Arial" w:cs="Arial"/>
                <w:b/>
                <w:bCs/>
                <w:color w:val="000000"/>
                <w:sz w:val="20"/>
                <w:szCs w:val="20"/>
              </w:rPr>
              <w:t>5.37</w:t>
            </w:r>
          </w:p>
        </w:tc>
        <w:tc>
          <w:tcPr>
            <w:tcW w:w="1054" w:type="dxa"/>
            <w:tcBorders>
              <w:top w:val="dotted" w:sz="6" w:space="0" w:color="auto"/>
              <w:left w:val="nil"/>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62.61%</w:t>
            </w:r>
          </w:p>
        </w:tc>
        <w:tc>
          <w:tcPr>
            <w:tcW w:w="958" w:type="dxa"/>
            <w:tcBorders>
              <w:top w:val="dotted" w:sz="6" w:space="0" w:color="auto"/>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35.07%</w:t>
            </w:r>
          </w:p>
        </w:tc>
      </w:tr>
      <w:tr w:rsidR="005B67A1">
        <w:trPr>
          <w:trHeight w:val="250"/>
        </w:trPr>
        <w:tc>
          <w:tcPr>
            <w:tcW w:w="3180" w:type="dxa"/>
            <w:gridSpan w:val="2"/>
            <w:tcBorders>
              <w:top w:val="dotted" w:sz="6" w:space="0" w:color="auto"/>
              <w:left w:val="single" w:sz="12" w:space="0" w:color="000000"/>
              <w:bottom w:val="nil"/>
              <w:right w:val="nil"/>
            </w:tcBorders>
          </w:tcPr>
          <w:p w:rsidR="005B67A1" w:rsidRDefault="005B67A1">
            <w:pPr>
              <w:rPr>
                <w:rFonts w:ascii="Arial" w:hAnsi="Arial" w:cs="Arial"/>
                <w:color w:val="000000"/>
                <w:sz w:val="20"/>
                <w:szCs w:val="20"/>
              </w:rPr>
            </w:pPr>
            <w:r>
              <w:rPr>
                <w:rFonts w:ascii="Arial" w:hAnsi="Arial" w:cs="Arial"/>
                <w:color w:val="000000"/>
                <w:sz w:val="20"/>
                <w:szCs w:val="20"/>
              </w:rPr>
              <w:t>U.S. Derivatives/Currency</w:t>
            </w:r>
          </w:p>
        </w:tc>
        <w:tc>
          <w:tcPr>
            <w:tcW w:w="1242" w:type="dxa"/>
            <w:tcBorders>
              <w:top w:val="dotted" w:sz="6" w:space="0" w:color="auto"/>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6</w:t>
            </w:r>
          </w:p>
        </w:tc>
        <w:tc>
          <w:tcPr>
            <w:tcW w:w="1278" w:type="dxa"/>
            <w:tcBorders>
              <w:top w:val="dotted" w:sz="6" w:space="0" w:color="auto"/>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0.27%</w:t>
            </w:r>
          </w:p>
        </w:tc>
        <w:tc>
          <w:tcPr>
            <w:tcW w:w="958" w:type="dxa"/>
            <w:tcBorders>
              <w:top w:val="dotted" w:sz="6" w:space="0" w:color="auto"/>
              <w:left w:val="nil"/>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4.99</w:t>
            </w:r>
          </w:p>
        </w:tc>
        <w:tc>
          <w:tcPr>
            <w:tcW w:w="1054" w:type="dxa"/>
            <w:tcBorders>
              <w:top w:val="dotted" w:sz="6" w:space="0" w:color="auto"/>
              <w:left w:val="nil"/>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50.00%</w:t>
            </w:r>
          </w:p>
        </w:tc>
        <w:tc>
          <w:tcPr>
            <w:tcW w:w="958" w:type="dxa"/>
            <w:tcBorders>
              <w:top w:val="dotted" w:sz="6" w:space="0" w:color="auto"/>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16.67%</w:t>
            </w:r>
          </w:p>
        </w:tc>
      </w:tr>
      <w:tr w:rsidR="005B67A1">
        <w:trPr>
          <w:trHeight w:val="250"/>
        </w:trPr>
        <w:tc>
          <w:tcPr>
            <w:tcW w:w="3180" w:type="dxa"/>
            <w:gridSpan w:val="2"/>
            <w:tcBorders>
              <w:top w:val="dotted" w:sz="6" w:space="0" w:color="auto"/>
              <w:left w:val="single" w:sz="12" w:space="0" w:color="000000"/>
              <w:bottom w:val="nil"/>
              <w:right w:val="nil"/>
            </w:tcBorders>
          </w:tcPr>
          <w:p w:rsidR="005B67A1" w:rsidRDefault="005B67A1">
            <w:pPr>
              <w:rPr>
                <w:rFonts w:ascii="Arial" w:hAnsi="Arial" w:cs="Arial"/>
                <w:color w:val="000000"/>
                <w:sz w:val="20"/>
                <w:szCs w:val="20"/>
              </w:rPr>
            </w:pPr>
            <w:r>
              <w:rPr>
                <w:rFonts w:ascii="Arial" w:hAnsi="Arial" w:cs="Arial"/>
                <w:color w:val="000000"/>
                <w:sz w:val="20"/>
                <w:szCs w:val="20"/>
              </w:rPr>
              <w:t>U.S. Equity</w:t>
            </w:r>
          </w:p>
        </w:tc>
        <w:tc>
          <w:tcPr>
            <w:tcW w:w="1242" w:type="dxa"/>
            <w:tcBorders>
              <w:top w:val="dotted" w:sz="6" w:space="0" w:color="auto"/>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889</w:t>
            </w:r>
          </w:p>
        </w:tc>
        <w:tc>
          <w:tcPr>
            <w:tcW w:w="1278" w:type="dxa"/>
            <w:tcBorders>
              <w:top w:val="dotted" w:sz="6" w:space="0" w:color="auto"/>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40.12%</w:t>
            </w:r>
          </w:p>
        </w:tc>
        <w:tc>
          <w:tcPr>
            <w:tcW w:w="958" w:type="dxa"/>
            <w:tcBorders>
              <w:top w:val="dotted" w:sz="6" w:space="0" w:color="auto"/>
              <w:left w:val="nil"/>
              <w:bottom w:val="nil"/>
              <w:right w:val="single" w:sz="12" w:space="0" w:color="000000"/>
            </w:tcBorders>
          </w:tcPr>
          <w:p w:rsidR="005B67A1" w:rsidRDefault="005B67A1">
            <w:pPr>
              <w:jc w:val="right"/>
              <w:rPr>
                <w:rFonts w:ascii="Arial" w:hAnsi="Arial" w:cs="Arial"/>
                <w:b/>
                <w:bCs/>
                <w:color w:val="000000"/>
                <w:sz w:val="20"/>
                <w:szCs w:val="20"/>
              </w:rPr>
            </w:pPr>
            <w:r>
              <w:rPr>
                <w:rFonts w:ascii="Arial" w:hAnsi="Arial" w:cs="Arial"/>
                <w:b/>
                <w:bCs/>
                <w:color w:val="000000"/>
                <w:sz w:val="20"/>
                <w:szCs w:val="20"/>
              </w:rPr>
              <w:t>5.51</w:t>
            </w:r>
          </w:p>
        </w:tc>
        <w:tc>
          <w:tcPr>
            <w:tcW w:w="1054" w:type="dxa"/>
            <w:tcBorders>
              <w:top w:val="dotted" w:sz="6" w:space="0" w:color="auto"/>
              <w:left w:val="nil"/>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72.33%</w:t>
            </w:r>
          </w:p>
        </w:tc>
        <w:tc>
          <w:tcPr>
            <w:tcW w:w="958" w:type="dxa"/>
            <w:tcBorders>
              <w:top w:val="dotted" w:sz="6" w:space="0" w:color="auto"/>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44.54%</w:t>
            </w:r>
          </w:p>
        </w:tc>
      </w:tr>
      <w:tr w:rsidR="005B67A1">
        <w:trPr>
          <w:trHeight w:val="250"/>
        </w:trPr>
        <w:tc>
          <w:tcPr>
            <w:tcW w:w="3180" w:type="dxa"/>
            <w:gridSpan w:val="2"/>
            <w:tcBorders>
              <w:top w:val="dotted" w:sz="6" w:space="0" w:color="auto"/>
              <w:left w:val="single" w:sz="12" w:space="0" w:color="000000"/>
              <w:bottom w:val="dotted" w:sz="6" w:space="0" w:color="auto"/>
              <w:right w:val="nil"/>
            </w:tcBorders>
          </w:tcPr>
          <w:p w:rsidR="005B67A1" w:rsidRDefault="005B67A1">
            <w:pPr>
              <w:rPr>
                <w:rFonts w:ascii="Arial" w:hAnsi="Arial" w:cs="Arial"/>
                <w:color w:val="000000"/>
                <w:sz w:val="20"/>
                <w:szCs w:val="20"/>
              </w:rPr>
            </w:pPr>
            <w:r>
              <w:rPr>
                <w:rFonts w:ascii="Arial" w:hAnsi="Arial" w:cs="Arial"/>
                <w:color w:val="000000"/>
                <w:sz w:val="20"/>
                <w:szCs w:val="20"/>
              </w:rPr>
              <w:t>U.S. Fixed Income</w:t>
            </w:r>
          </w:p>
        </w:tc>
        <w:tc>
          <w:tcPr>
            <w:tcW w:w="1242" w:type="dxa"/>
            <w:tcBorders>
              <w:top w:val="dotted" w:sz="6" w:space="0" w:color="auto"/>
              <w:left w:val="single" w:sz="12" w:space="0" w:color="000000"/>
              <w:bottom w:val="dotted" w:sz="6" w:space="0" w:color="auto"/>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636</w:t>
            </w:r>
          </w:p>
        </w:tc>
        <w:tc>
          <w:tcPr>
            <w:tcW w:w="1278" w:type="dxa"/>
            <w:tcBorders>
              <w:top w:val="dotted" w:sz="6" w:space="0" w:color="auto"/>
              <w:left w:val="single" w:sz="12" w:space="0" w:color="000000"/>
              <w:bottom w:val="dotted" w:sz="6" w:space="0" w:color="auto"/>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28.70%</w:t>
            </w:r>
          </w:p>
        </w:tc>
        <w:tc>
          <w:tcPr>
            <w:tcW w:w="958" w:type="dxa"/>
            <w:tcBorders>
              <w:top w:val="dotted" w:sz="6" w:space="0" w:color="auto"/>
              <w:left w:val="nil"/>
              <w:bottom w:val="dotted" w:sz="6" w:space="0" w:color="auto"/>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4.34</w:t>
            </w:r>
          </w:p>
        </w:tc>
        <w:tc>
          <w:tcPr>
            <w:tcW w:w="1054" w:type="dxa"/>
            <w:tcBorders>
              <w:top w:val="dotted" w:sz="6" w:space="0" w:color="auto"/>
              <w:left w:val="nil"/>
              <w:bottom w:val="dotted" w:sz="6" w:space="0" w:color="auto"/>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10.53%</w:t>
            </w:r>
          </w:p>
        </w:tc>
        <w:tc>
          <w:tcPr>
            <w:tcW w:w="958" w:type="dxa"/>
            <w:tcBorders>
              <w:top w:val="dotted" w:sz="6" w:space="0" w:color="auto"/>
              <w:left w:val="dotted" w:sz="6" w:space="0" w:color="000000"/>
              <w:bottom w:val="dotted" w:sz="6" w:space="0" w:color="auto"/>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5.66%</w:t>
            </w:r>
          </w:p>
        </w:tc>
      </w:tr>
      <w:tr w:rsidR="005B67A1">
        <w:trPr>
          <w:trHeight w:val="264"/>
        </w:trPr>
        <w:tc>
          <w:tcPr>
            <w:tcW w:w="3180" w:type="dxa"/>
            <w:gridSpan w:val="2"/>
            <w:tcBorders>
              <w:top w:val="nil"/>
              <w:left w:val="single" w:sz="12" w:space="0" w:color="000000"/>
              <w:bottom w:val="single" w:sz="12" w:space="0" w:color="000000"/>
              <w:right w:val="nil"/>
            </w:tcBorders>
          </w:tcPr>
          <w:p w:rsidR="005B67A1" w:rsidRDefault="005B67A1">
            <w:pPr>
              <w:rPr>
                <w:rFonts w:ascii="Arial" w:hAnsi="Arial" w:cs="Arial"/>
                <w:color w:val="000000"/>
                <w:sz w:val="20"/>
                <w:szCs w:val="20"/>
              </w:rPr>
            </w:pPr>
            <w:r>
              <w:rPr>
                <w:rFonts w:ascii="Arial" w:hAnsi="Arial" w:cs="Arial"/>
                <w:color w:val="000000"/>
                <w:sz w:val="20"/>
                <w:szCs w:val="20"/>
              </w:rPr>
              <w:t>Other</w:t>
            </w:r>
          </w:p>
        </w:tc>
        <w:tc>
          <w:tcPr>
            <w:tcW w:w="1242"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27</w:t>
            </w:r>
          </w:p>
        </w:tc>
        <w:tc>
          <w:tcPr>
            <w:tcW w:w="1278"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1.22%</w:t>
            </w:r>
          </w:p>
        </w:tc>
        <w:tc>
          <w:tcPr>
            <w:tcW w:w="958" w:type="dxa"/>
            <w:tcBorders>
              <w:top w:val="nil"/>
              <w:left w:val="nil"/>
              <w:bottom w:val="nil"/>
              <w:right w:val="single" w:sz="12" w:space="0" w:color="000000"/>
            </w:tcBorders>
          </w:tcPr>
          <w:p w:rsidR="005B67A1" w:rsidRDefault="005B67A1">
            <w:pPr>
              <w:jc w:val="right"/>
              <w:rPr>
                <w:rFonts w:ascii="Arial" w:hAnsi="Arial" w:cs="Arial"/>
                <w:b/>
                <w:bCs/>
                <w:color w:val="000000"/>
                <w:sz w:val="20"/>
                <w:szCs w:val="20"/>
              </w:rPr>
            </w:pPr>
            <w:r>
              <w:rPr>
                <w:rFonts w:ascii="Arial" w:hAnsi="Arial" w:cs="Arial"/>
                <w:b/>
                <w:bCs/>
                <w:color w:val="000000"/>
                <w:sz w:val="20"/>
                <w:szCs w:val="20"/>
              </w:rPr>
              <w:t>5.35</w:t>
            </w:r>
          </w:p>
        </w:tc>
        <w:tc>
          <w:tcPr>
            <w:tcW w:w="1054" w:type="dxa"/>
            <w:tcBorders>
              <w:top w:val="nil"/>
              <w:left w:val="nil"/>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70.37%</w:t>
            </w:r>
          </w:p>
        </w:tc>
        <w:tc>
          <w:tcPr>
            <w:tcW w:w="958"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40.74%</w:t>
            </w:r>
          </w:p>
        </w:tc>
      </w:tr>
      <w:tr w:rsidR="005B67A1">
        <w:trPr>
          <w:trHeight w:val="264"/>
        </w:trPr>
        <w:tc>
          <w:tcPr>
            <w:tcW w:w="3180" w:type="dxa"/>
            <w:gridSpan w:val="2"/>
            <w:tcBorders>
              <w:top w:val="single" w:sz="12" w:space="0" w:color="000000"/>
              <w:left w:val="single" w:sz="12" w:space="0" w:color="000000"/>
              <w:bottom w:val="single" w:sz="12" w:space="0" w:color="000000"/>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Total:</w:t>
            </w:r>
          </w:p>
        </w:tc>
        <w:tc>
          <w:tcPr>
            <w:tcW w:w="1242" w:type="dxa"/>
            <w:tcBorders>
              <w:top w:val="single" w:sz="12" w:space="0" w:color="000000"/>
              <w:left w:val="nil"/>
              <w:bottom w:val="single" w:sz="12" w:space="0" w:color="000000"/>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2216</w:t>
            </w:r>
          </w:p>
        </w:tc>
        <w:tc>
          <w:tcPr>
            <w:tcW w:w="1278" w:type="dxa"/>
            <w:tcBorders>
              <w:top w:val="nil"/>
              <w:left w:val="nil"/>
              <w:bottom w:val="nil"/>
              <w:right w:val="nil"/>
            </w:tcBorders>
          </w:tcPr>
          <w:p w:rsidR="005B67A1" w:rsidRDefault="005B67A1">
            <w:pPr>
              <w:jc w:val="right"/>
              <w:rPr>
                <w:rFonts w:ascii="Arial" w:hAnsi="Arial" w:cs="Arial"/>
                <w:color w:val="000000"/>
                <w:sz w:val="20"/>
                <w:szCs w:val="20"/>
              </w:rPr>
            </w:pPr>
          </w:p>
        </w:tc>
        <w:tc>
          <w:tcPr>
            <w:tcW w:w="958" w:type="dxa"/>
            <w:tcBorders>
              <w:top w:val="nil"/>
              <w:left w:val="nil"/>
              <w:bottom w:val="nil"/>
              <w:right w:val="single" w:sz="12" w:space="0" w:color="000000"/>
            </w:tcBorders>
          </w:tcPr>
          <w:p w:rsidR="005B67A1" w:rsidRDefault="005B67A1">
            <w:pPr>
              <w:jc w:val="right"/>
              <w:rPr>
                <w:rFonts w:ascii="Arial" w:hAnsi="Arial" w:cs="Arial"/>
                <w:color w:val="000000"/>
                <w:sz w:val="20"/>
                <w:szCs w:val="20"/>
              </w:rPr>
            </w:pPr>
          </w:p>
        </w:tc>
        <w:tc>
          <w:tcPr>
            <w:tcW w:w="1054" w:type="dxa"/>
            <w:tcBorders>
              <w:top w:val="nil"/>
              <w:left w:val="nil"/>
              <w:bottom w:val="nil"/>
              <w:right w:val="nil"/>
            </w:tcBorders>
          </w:tcPr>
          <w:p w:rsidR="005B67A1" w:rsidRDefault="005B67A1">
            <w:pPr>
              <w:jc w:val="right"/>
              <w:rPr>
                <w:rFonts w:ascii="Arial" w:hAnsi="Arial" w:cs="Arial"/>
                <w:color w:val="000000"/>
                <w:sz w:val="20"/>
                <w:szCs w:val="20"/>
              </w:rPr>
            </w:pPr>
          </w:p>
        </w:tc>
        <w:tc>
          <w:tcPr>
            <w:tcW w:w="958"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p>
        </w:tc>
      </w:tr>
      <w:tr w:rsidR="005B67A1">
        <w:trPr>
          <w:trHeight w:val="250"/>
        </w:trPr>
        <w:tc>
          <w:tcPr>
            <w:tcW w:w="4422" w:type="dxa"/>
            <w:gridSpan w:val="3"/>
            <w:tcBorders>
              <w:top w:val="nil"/>
              <w:left w:val="single" w:sz="12" w:space="0" w:color="000000"/>
              <w:bottom w:val="nil"/>
              <w:right w:val="nil"/>
            </w:tcBorders>
            <w:shd w:val="pct5" w:color="auto" w:fill="auto"/>
          </w:tcPr>
          <w:p w:rsidR="005B67A1" w:rsidRDefault="005B67A1">
            <w:pPr>
              <w:rPr>
                <w:rFonts w:ascii="Arial" w:hAnsi="Arial" w:cs="Arial"/>
                <w:color w:val="000000"/>
                <w:sz w:val="20"/>
                <w:szCs w:val="20"/>
              </w:rPr>
            </w:pPr>
            <w:r>
              <w:rPr>
                <w:rFonts w:ascii="Arial" w:hAnsi="Arial" w:cs="Arial"/>
                <w:color w:val="000000"/>
                <w:sz w:val="20"/>
                <w:szCs w:val="20"/>
              </w:rPr>
              <w:t>Weighted average studentized range:</w:t>
            </w:r>
          </w:p>
        </w:tc>
        <w:tc>
          <w:tcPr>
            <w:tcW w:w="1278" w:type="dxa"/>
            <w:tcBorders>
              <w:top w:val="nil"/>
              <w:left w:val="nil"/>
              <w:bottom w:val="nil"/>
              <w:right w:val="nil"/>
            </w:tcBorders>
            <w:shd w:val="pct5" w:color="auto" w:fill="auto"/>
          </w:tcPr>
          <w:p w:rsidR="005B67A1" w:rsidRDefault="005B67A1">
            <w:pPr>
              <w:jc w:val="right"/>
              <w:rPr>
                <w:rFonts w:ascii="Arial" w:hAnsi="Arial" w:cs="Arial"/>
                <w:color w:val="000000"/>
                <w:sz w:val="20"/>
                <w:szCs w:val="20"/>
              </w:rPr>
            </w:pPr>
          </w:p>
        </w:tc>
        <w:tc>
          <w:tcPr>
            <w:tcW w:w="958" w:type="dxa"/>
            <w:tcBorders>
              <w:top w:val="nil"/>
              <w:left w:val="nil"/>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5.10</w:t>
            </w:r>
          </w:p>
        </w:tc>
        <w:tc>
          <w:tcPr>
            <w:tcW w:w="1054" w:type="dxa"/>
            <w:tcBorders>
              <w:top w:val="nil"/>
              <w:left w:val="nil"/>
              <w:bottom w:val="nil"/>
              <w:right w:val="nil"/>
            </w:tcBorders>
          </w:tcPr>
          <w:p w:rsidR="005B67A1" w:rsidRDefault="005B67A1">
            <w:pPr>
              <w:jc w:val="right"/>
              <w:rPr>
                <w:rFonts w:ascii="Arial" w:hAnsi="Arial" w:cs="Arial"/>
                <w:color w:val="000000"/>
                <w:sz w:val="20"/>
                <w:szCs w:val="20"/>
              </w:rPr>
            </w:pPr>
          </w:p>
        </w:tc>
        <w:tc>
          <w:tcPr>
            <w:tcW w:w="958"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p>
        </w:tc>
      </w:tr>
      <w:tr w:rsidR="005B67A1">
        <w:trPr>
          <w:trHeight w:val="250"/>
        </w:trPr>
        <w:tc>
          <w:tcPr>
            <w:tcW w:w="6658" w:type="dxa"/>
            <w:gridSpan w:val="5"/>
            <w:tcBorders>
              <w:top w:val="single" w:sz="12" w:space="0" w:color="000000"/>
              <w:left w:val="single" w:sz="12" w:space="0" w:color="000000"/>
              <w:bottom w:val="single" w:sz="12" w:space="0" w:color="000000"/>
              <w:right w:val="nil"/>
            </w:tcBorders>
            <w:shd w:val="pct5" w:color="auto" w:fill="auto"/>
          </w:tcPr>
          <w:p w:rsidR="005B67A1" w:rsidRDefault="005B67A1">
            <w:pPr>
              <w:rPr>
                <w:rFonts w:ascii="Arial" w:hAnsi="Arial" w:cs="Arial"/>
                <w:color w:val="000000"/>
                <w:sz w:val="20"/>
                <w:szCs w:val="20"/>
              </w:rPr>
            </w:pPr>
            <w:r>
              <w:rPr>
                <w:rFonts w:ascii="Arial" w:hAnsi="Arial" w:cs="Arial"/>
                <w:color w:val="000000"/>
                <w:sz w:val="20"/>
                <w:szCs w:val="20"/>
              </w:rPr>
              <w:t>Weighted average % of managers whose SR was &gt;= critical value:</w:t>
            </w:r>
          </w:p>
        </w:tc>
        <w:tc>
          <w:tcPr>
            <w:tcW w:w="1054" w:type="dxa"/>
            <w:tcBorders>
              <w:top w:val="nil"/>
              <w:left w:val="nil"/>
              <w:bottom w:val="single" w:sz="12" w:space="0" w:color="000000"/>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49.05%</w:t>
            </w:r>
          </w:p>
        </w:tc>
        <w:tc>
          <w:tcPr>
            <w:tcW w:w="958" w:type="dxa"/>
            <w:tcBorders>
              <w:top w:val="nil"/>
              <w:left w:val="dotted" w:sz="6" w:space="0" w:color="000000"/>
              <w:bottom w:val="single" w:sz="12" w:space="0" w:color="000000"/>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28.56%</w:t>
            </w:r>
          </w:p>
        </w:tc>
      </w:tr>
    </w:tbl>
    <w:p w:rsidR="005B67A1" w:rsidRDefault="005B67A1">
      <w:pPr>
        <w:spacing w:line="480" w:lineRule="auto"/>
        <w:rPr>
          <w:rFonts w:ascii="Arial" w:hAnsi="Arial" w:cs="Arial"/>
        </w:rPr>
      </w:pPr>
    </w:p>
    <w:p w:rsidR="005B67A1" w:rsidRDefault="005B67A1">
      <w:pPr>
        <w:spacing w:line="360" w:lineRule="auto"/>
        <w:rPr>
          <w:rFonts w:ascii="Arial" w:hAnsi="Arial" w:cs="Arial"/>
          <w:sz w:val="20"/>
          <w:szCs w:val="20"/>
        </w:rPr>
      </w:pPr>
      <w:r>
        <w:rPr>
          <w:rFonts w:ascii="Arial" w:hAnsi="Arial" w:cs="Arial"/>
          <w:sz w:val="20"/>
          <w:szCs w:val="20"/>
        </w:rPr>
        <w:tab/>
        <w:t xml:space="preserve">There are a number of interesting results for this data set.  First, where non-normality occurs, it seems to correspond with having an amount of equities in a portfolio.  Second, the weighted average studentized range for all 2,216 money managers is only 5.10.  Had all of the asset classes been considered together, rather than individually, the universe would have appeared normally distributed.  Most importantly, the results show that there is potential for risk-adjusted portfolio performance measures to provide different information than that provided by traditional volatility-adjusted portfolio performance measures.  A possible criticism of the data is that of survivorship bias.  Nelson's </w:t>
      </w:r>
      <w:r>
        <w:rPr>
          <w:rFonts w:ascii="Arial" w:hAnsi="Arial" w:cs="Arial"/>
          <w:i/>
          <w:iCs/>
          <w:sz w:val="20"/>
          <w:szCs w:val="20"/>
        </w:rPr>
        <w:t>Marketplace</w:t>
      </w:r>
      <w:r>
        <w:rPr>
          <w:rFonts w:ascii="Arial" w:hAnsi="Arial" w:cs="Arial"/>
          <w:sz w:val="20"/>
          <w:szCs w:val="20"/>
        </w:rPr>
        <w:t xml:space="preserve"> only includes the returns of money managers who have survived to the present.</w:t>
      </w:r>
    </w:p>
    <w:p w:rsidR="005B67A1" w:rsidRDefault="005B67A1">
      <w:pPr>
        <w:pStyle w:val="Risk-Heading1"/>
        <w:spacing w:line="240" w:lineRule="auto"/>
      </w:pPr>
      <w:r>
        <w:t>Part IV: Risk-Adjusted Portfolio Performance Measures</w:t>
      </w:r>
    </w:p>
    <w:p w:rsidR="005B67A1" w:rsidRDefault="005B67A1">
      <w:pPr>
        <w:spacing w:line="360" w:lineRule="auto"/>
        <w:rPr>
          <w:rFonts w:ascii="Arial" w:hAnsi="Arial" w:cs="Arial"/>
          <w:sz w:val="20"/>
          <w:szCs w:val="20"/>
        </w:rPr>
      </w:pPr>
      <w:r>
        <w:rPr>
          <w:rFonts w:ascii="Arial" w:hAnsi="Arial" w:cs="Arial"/>
          <w:sz w:val="20"/>
          <w:szCs w:val="20"/>
        </w:rPr>
        <w:tab/>
        <w:t>This section reviews some of the existing methods of measuring the downside risk inherent in money manager returns.  Further, several new techniques are developed, including a semi-Sharpe ratio, a semi-beta, and a semi-Treynor ratio.</w:t>
      </w:r>
    </w:p>
    <w:p w:rsidR="005B67A1" w:rsidRDefault="005B67A1">
      <w:pPr>
        <w:spacing w:line="360" w:lineRule="auto"/>
        <w:rPr>
          <w:rFonts w:ascii="Arial" w:hAnsi="Arial" w:cs="Arial"/>
          <w:sz w:val="20"/>
          <w:szCs w:val="20"/>
        </w:rPr>
      </w:pPr>
      <w:r>
        <w:rPr>
          <w:rFonts w:ascii="Arial" w:hAnsi="Arial" w:cs="Arial"/>
          <w:b/>
          <w:bCs/>
          <w:sz w:val="20"/>
          <w:szCs w:val="20"/>
        </w:rPr>
        <w:tab/>
      </w:r>
      <w:r>
        <w:rPr>
          <w:rFonts w:ascii="Arial" w:hAnsi="Arial" w:cs="Arial"/>
          <w:sz w:val="20"/>
          <w:szCs w:val="20"/>
        </w:rPr>
        <w:t>Critical to the assessment of portfolio risk is a measure that focuses only on negative returns.  The semi-standard deviation (semi-</w:t>
      </w:r>
      <w:r>
        <w:rPr>
          <w:rFonts w:ascii="Arial" w:hAnsi="Arial" w:cs="Arial"/>
          <w:sz w:val="20"/>
          <w:szCs w:val="20"/>
        </w:rPr>
        <w:sym w:font="Symbol" w:char="F073"/>
      </w:r>
      <w:r>
        <w:rPr>
          <w:rFonts w:ascii="Arial" w:hAnsi="Arial" w:cs="Arial"/>
          <w:sz w:val="20"/>
          <w:szCs w:val="20"/>
        </w:rPr>
        <w:t>) is such a measure.  The calculation of the semi-</w:t>
      </w:r>
      <w:r>
        <w:rPr>
          <w:rFonts w:ascii="Arial" w:hAnsi="Arial" w:cs="Arial"/>
          <w:sz w:val="20"/>
          <w:szCs w:val="20"/>
        </w:rPr>
        <w:sym w:font="Symbol" w:char="F073"/>
      </w:r>
      <w:r>
        <w:rPr>
          <w:rFonts w:ascii="Arial" w:hAnsi="Arial" w:cs="Arial"/>
          <w:sz w:val="20"/>
          <w:szCs w:val="20"/>
        </w:rPr>
        <w:t xml:space="preserve"> is the same as </w:t>
      </w:r>
      <w:r>
        <w:rPr>
          <w:rFonts w:ascii="Arial" w:hAnsi="Arial" w:cs="Arial"/>
          <w:sz w:val="20"/>
          <w:szCs w:val="20"/>
        </w:rPr>
        <w:lastRenderedPageBreak/>
        <w:t>the calculation of the standard deviation (</w:t>
      </w:r>
      <w:r>
        <w:rPr>
          <w:rFonts w:ascii="Symbol" w:hAnsi="Symbol" w:cs="Symbol"/>
          <w:sz w:val="20"/>
          <w:szCs w:val="20"/>
        </w:rPr>
        <w:t></w:t>
      </w:r>
      <w:r>
        <w:rPr>
          <w:rFonts w:ascii="Arial" w:hAnsi="Arial" w:cs="Arial"/>
          <w:sz w:val="20"/>
          <w:szCs w:val="20"/>
        </w:rPr>
        <w:t>), except that the numbers used in the calculation only include periods during which the portfolio manager did not outperform an appropriate benchmark index.  The recommended benchmark is the risk-free rate because it is a universal benchmark and can be used to measure both the risk of portfolio managers and of market benchmarks.  This allows for direct comparisons between a manager's risk adjusted returns and a benchmark index's risk adjusted returns.  Exhibit 2 provides a graphical example of what the semi-</w:t>
      </w:r>
      <w:r>
        <w:rPr>
          <w:rFonts w:ascii="Arial" w:hAnsi="Arial" w:cs="Arial"/>
          <w:sz w:val="20"/>
          <w:szCs w:val="20"/>
        </w:rPr>
        <w:sym w:font="Symbol" w:char="F073"/>
      </w:r>
      <w:r>
        <w:rPr>
          <w:rFonts w:ascii="Arial" w:hAnsi="Arial" w:cs="Arial"/>
          <w:sz w:val="20"/>
          <w:szCs w:val="20"/>
        </w:rPr>
        <w:t xml:space="preserve"> means.</w:t>
      </w:r>
      <w:r>
        <w:rPr>
          <w:rStyle w:val="FootnoteReference"/>
          <w:rFonts w:ascii="Arial" w:hAnsi="Arial" w:cs="Arial"/>
          <w:sz w:val="20"/>
          <w:szCs w:val="20"/>
        </w:rPr>
        <w:footnoteReference w:id="4"/>
      </w:r>
    </w:p>
    <w:p w:rsidR="005B67A1" w:rsidRDefault="00963FFA">
      <w:pPr>
        <w:spacing w:line="480" w:lineRule="auto"/>
        <w:rPr>
          <w:rFonts w:ascii="Arial" w:hAnsi="Arial" w:cs="Arial"/>
        </w:rPr>
      </w:pPr>
      <w:r>
        <w:rPr>
          <w:noProof/>
          <w:sz w:val="20"/>
          <w:szCs w:val="20"/>
        </w:rPr>
        <w:drawing>
          <wp:inline distT="0" distB="0" distL="0" distR="0">
            <wp:extent cx="4600575" cy="31432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67A1" w:rsidRDefault="005B67A1">
      <w:pPr>
        <w:spacing w:line="360" w:lineRule="auto"/>
        <w:rPr>
          <w:rFonts w:ascii="Arial" w:hAnsi="Arial" w:cs="Arial"/>
          <w:sz w:val="20"/>
          <w:szCs w:val="20"/>
        </w:rPr>
      </w:pPr>
      <w:r>
        <w:rPr>
          <w:rFonts w:ascii="Arial" w:hAnsi="Arial" w:cs="Arial"/>
          <w:sz w:val="20"/>
          <w:szCs w:val="20"/>
        </w:rPr>
        <w:tab/>
        <w:t>To calculate semi-</w:t>
      </w:r>
      <w:r>
        <w:rPr>
          <w:rFonts w:ascii="Arial" w:hAnsi="Arial" w:cs="Arial"/>
          <w:sz w:val="20"/>
          <w:szCs w:val="20"/>
        </w:rPr>
        <w:sym w:font="Symbol" w:char="F073"/>
      </w:r>
      <w:r>
        <w:rPr>
          <w:rFonts w:ascii="Arial" w:hAnsi="Arial" w:cs="Arial"/>
          <w:sz w:val="20"/>
          <w:szCs w:val="20"/>
        </w:rPr>
        <w:t xml:space="preserve"> the money manager returns below those of 90-day Treasury Bills are plugged into the regular standard deviation formula.  In the above exhibit the appropriate returns for the semi-</w:t>
      </w:r>
      <w:r>
        <w:rPr>
          <w:rFonts w:ascii="Arial" w:hAnsi="Arial" w:cs="Arial"/>
          <w:sz w:val="20"/>
          <w:szCs w:val="20"/>
        </w:rPr>
        <w:sym w:font="Symbol" w:char="F073"/>
      </w:r>
      <w:r>
        <w:rPr>
          <w:rFonts w:ascii="Arial" w:hAnsi="Arial" w:cs="Arial"/>
          <w:sz w:val="20"/>
          <w:szCs w:val="20"/>
        </w:rPr>
        <w:t xml:space="preserve"> calculation are denoted by black triangles.  Despite its strength as a risk measure, the semi-</w:t>
      </w:r>
      <w:r>
        <w:rPr>
          <w:rFonts w:ascii="Arial" w:hAnsi="Arial" w:cs="Arial"/>
          <w:sz w:val="20"/>
          <w:szCs w:val="20"/>
        </w:rPr>
        <w:sym w:font="Symbol" w:char="F073"/>
      </w:r>
      <w:r>
        <w:rPr>
          <w:rFonts w:ascii="Arial" w:hAnsi="Arial" w:cs="Arial"/>
          <w:sz w:val="20"/>
          <w:szCs w:val="20"/>
        </w:rPr>
        <w:t xml:space="preserve"> by itself is not a fully adequate measure of portfolio performance.  To increase its validity, the semi-</w:t>
      </w:r>
      <w:r>
        <w:rPr>
          <w:rFonts w:ascii="Arial" w:hAnsi="Arial" w:cs="Arial"/>
          <w:sz w:val="20"/>
          <w:szCs w:val="20"/>
        </w:rPr>
        <w:sym w:font="Symbol" w:char="F073"/>
      </w:r>
      <w:r>
        <w:rPr>
          <w:rFonts w:ascii="Arial" w:hAnsi="Arial" w:cs="Arial"/>
          <w:sz w:val="20"/>
          <w:szCs w:val="20"/>
        </w:rPr>
        <w:t xml:space="preserve"> must be combined with an investment's returns to form a composite portfolio performance measure.  The recommended method is to use semi-</w:t>
      </w:r>
      <w:r>
        <w:rPr>
          <w:rFonts w:ascii="Arial" w:hAnsi="Arial" w:cs="Arial"/>
          <w:sz w:val="20"/>
          <w:szCs w:val="20"/>
        </w:rPr>
        <w:sym w:font="Symbol" w:char="F073"/>
      </w:r>
      <w:r>
        <w:rPr>
          <w:rFonts w:ascii="Arial" w:hAnsi="Arial" w:cs="Arial"/>
          <w:sz w:val="20"/>
          <w:szCs w:val="20"/>
        </w:rPr>
        <w:t xml:space="preserve"> as the risk adjustment in the denominator of the Sharpe ratio, expressed mathematically as:</w:t>
      </w:r>
    </w:p>
    <w:p w:rsidR="005B67A1" w:rsidRDefault="005F38F5">
      <w:pPr>
        <w:spacing w:line="360" w:lineRule="auto"/>
        <w:jc w:val="center"/>
        <w:rPr>
          <w:rFonts w:ascii="Arial" w:hAnsi="Arial" w:cs="Arial"/>
          <w:position w:val="-24"/>
          <w:sz w:val="20"/>
          <w:szCs w:val="20"/>
        </w:rPr>
      </w:pPr>
      <w:r>
        <w:rPr>
          <w:rFonts w:ascii="Arial" w:hAnsi="Arial" w:cs="Arial"/>
          <w:position w:val="-12"/>
          <w:sz w:val="20"/>
          <w:szCs w:val="20"/>
        </w:rPr>
        <w:object w:dxaOrig="180" w:dyaOrig="340">
          <v:shape id="_x0000_i1026" type="#_x0000_t75" style="width:9pt;height:17.25pt" o:ole="" fillcolor="window">
            <v:imagedata r:id="rId10" o:title=""/>
          </v:shape>
          <o:OLEObject Type="Embed" ProgID="Equation.3" ShapeID="_x0000_i1026" DrawAspect="Content" ObjectID="_1501941730" r:id="rId11"/>
        </w:object>
      </w:r>
      <w:r w:rsidR="005B67A1">
        <w:rPr>
          <w:rFonts w:ascii="Arial" w:hAnsi="Arial" w:cs="Arial"/>
          <w:sz w:val="20"/>
          <w:szCs w:val="20"/>
        </w:rPr>
        <w:t>Semi-Sharpe Ratio = S</w:t>
      </w:r>
      <w:r w:rsidR="005B67A1">
        <w:rPr>
          <w:rFonts w:ascii="Arial" w:hAnsi="Arial" w:cs="Arial"/>
          <w:sz w:val="20"/>
          <w:szCs w:val="20"/>
          <w:vertAlign w:val="subscript"/>
        </w:rPr>
        <w:t>i</w:t>
      </w:r>
      <w:r w:rsidR="005B67A1">
        <w:rPr>
          <w:rFonts w:ascii="Arial" w:hAnsi="Arial" w:cs="Arial"/>
          <w:sz w:val="20"/>
          <w:szCs w:val="20"/>
        </w:rPr>
        <w:t xml:space="preserve"> =</w:t>
      </w:r>
      <w:r>
        <w:rPr>
          <w:rFonts w:ascii="Arial" w:hAnsi="Arial" w:cs="Arial"/>
          <w:position w:val="-24"/>
          <w:sz w:val="20"/>
          <w:szCs w:val="20"/>
        </w:rPr>
        <w:object w:dxaOrig="1100" w:dyaOrig="660">
          <v:shape id="_x0000_i1027" type="#_x0000_t75" style="width:54.75pt;height:33pt" o:ole="" fillcolor="window">
            <v:imagedata r:id="rId12" o:title=""/>
          </v:shape>
          <o:OLEObject Type="Embed" ProgID="Equation.3" ShapeID="_x0000_i1027" DrawAspect="Content" ObjectID="_1501941731" r:id="rId13"/>
        </w:object>
      </w:r>
    </w:p>
    <w:p w:rsidR="005B67A1" w:rsidRDefault="005B67A1">
      <w:pPr>
        <w:spacing w:line="360" w:lineRule="auto"/>
        <w:rPr>
          <w:rFonts w:ascii="Arial" w:hAnsi="Arial" w:cs="Arial"/>
          <w:sz w:val="20"/>
          <w:szCs w:val="20"/>
        </w:rPr>
      </w:pPr>
      <w:r>
        <w:rPr>
          <w:rFonts w:ascii="Arial" w:hAnsi="Arial" w:cs="Arial"/>
          <w:sz w:val="20"/>
          <w:szCs w:val="20"/>
        </w:rPr>
        <w:t xml:space="preserve">The semi-Sharpe ratio eliminates many of the weaknesses of existing portfolio performance measures.  Principally, it measures risk, and not volatility. </w:t>
      </w:r>
    </w:p>
    <w:p w:rsidR="005B67A1" w:rsidRDefault="005B67A1">
      <w:pPr>
        <w:spacing w:line="360" w:lineRule="auto"/>
        <w:rPr>
          <w:rFonts w:ascii="Arial" w:hAnsi="Arial" w:cs="Arial"/>
          <w:sz w:val="20"/>
          <w:szCs w:val="20"/>
        </w:rPr>
      </w:pPr>
      <w:r>
        <w:rPr>
          <w:rFonts w:ascii="Arial" w:hAnsi="Arial" w:cs="Arial"/>
          <w:sz w:val="20"/>
          <w:szCs w:val="20"/>
        </w:rPr>
        <w:tab/>
        <w:t xml:space="preserve">The semi-standard deviation concept can be similarly applied to </w:t>
      </w:r>
      <w:r>
        <w:rPr>
          <w:rFonts w:ascii="Arial" w:hAnsi="Arial" w:cs="Arial"/>
          <w:i/>
          <w:iCs/>
          <w:sz w:val="20"/>
          <w:szCs w:val="20"/>
        </w:rPr>
        <w:sym w:font="Symbol" w:char="F062"/>
      </w:r>
      <w:r>
        <w:rPr>
          <w:rFonts w:ascii="Arial" w:hAnsi="Arial" w:cs="Arial"/>
          <w:sz w:val="20"/>
          <w:szCs w:val="20"/>
        </w:rPr>
        <w:t xml:space="preserve">, whereby only those portfolio manager returns which lie below the return on a risk-free rate would be considered in calculating the </w:t>
      </w:r>
      <w:r>
        <w:rPr>
          <w:rFonts w:ascii="Arial" w:hAnsi="Arial" w:cs="Arial"/>
          <w:sz w:val="20"/>
          <w:szCs w:val="20"/>
        </w:rPr>
        <w:lastRenderedPageBreak/>
        <w:t>normal slope coefficient.  This modified, semi-</w:t>
      </w:r>
      <w:r>
        <w:rPr>
          <w:rFonts w:ascii="Arial" w:hAnsi="Arial" w:cs="Arial"/>
          <w:i/>
          <w:iCs/>
          <w:sz w:val="20"/>
          <w:szCs w:val="20"/>
        </w:rPr>
        <w:sym w:font="Symbol" w:char="F062"/>
      </w:r>
      <w:r>
        <w:rPr>
          <w:rFonts w:ascii="Arial" w:hAnsi="Arial" w:cs="Arial"/>
          <w:sz w:val="20"/>
          <w:szCs w:val="20"/>
        </w:rPr>
        <w:t xml:space="preserve"> is then used as the denominator in the Treynor ratio as follows:</w:t>
      </w:r>
    </w:p>
    <w:p w:rsidR="005B67A1" w:rsidRDefault="005B67A1">
      <w:pPr>
        <w:spacing w:line="360" w:lineRule="auto"/>
        <w:jc w:val="center"/>
        <w:rPr>
          <w:rFonts w:ascii="Arial" w:hAnsi="Arial" w:cs="Arial"/>
          <w:position w:val="-24"/>
          <w:sz w:val="20"/>
          <w:szCs w:val="20"/>
        </w:rPr>
      </w:pPr>
      <w:r>
        <w:rPr>
          <w:rFonts w:ascii="Arial" w:hAnsi="Arial" w:cs="Arial"/>
          <w:sz w:val="20"/>
          <w:szCs w:val="20"/>
        </w:rPr>
        <w:t>Semi-Treynor Ratio = T</w:t>
      </w:r>
      <w:r>
        <w:rPr>
          <w:rFonts w:ascii="Arial" w:hAnsi="Arial" w:cs="Arial"/>
          <w:sz w:val="20"/>
          <w:szCs w:val="20"/>
          <w:vertAlign w:val="subscript"/>
        </w:rPr>
        <w:t>i</w:t>
      </w:r>
      <w:r>
        <w:rPr>
          <w:rFonts w:ascii="Arial" w:hAnsi="Arial" w:cs="Arial"/>
          <w:sz w:val="20"/>
          <w:szCs w:val="20"/>
        </w:rPr>
        <w:t xml:space="preserve"> =</w:t>
      </w:r>
      <w:r w:rsidR="005F38F5">
        <w:rPr>
          <w:rFonts w:ascii="Arial" w:hAnsi="Arial" w:cs="Arial"/>
          <w:position w:val="-28"/>
          <w:sz w:val="20"/>
          <w:szCs w:val="20"/>
        </w:rPr>
        <w:object w:dxaOrig="1100" w:dyaOrig="700">
          <v:shape id="_x0000_i1028" type="#_x0000_t75" style="width:54.75pt;height:35.25pt" o:ole="" fillcolor="window">
            <v:imagedata r:id="rId14" o:title=""/>
          </v:shape>
          <o:OLEObject Type="Embed" ProgID="Equation.3" ShapeID="_x0000_i1028" DrawAspect="Content" ObjectID="_1501941732" r:id="rId15"/>
        </w:object>
      </w:r>
    </w:p>
    <w:p w:rsidR="005B67A1" w:rsidRDefault="005B67A1">
      <w:pPr>
        <w:spacing w:line="360" w:lineRule="auto"/>
        <w:rPr>
          <w:rFonts w:ascii="Arial" w:hAnsi="Arial" w:cs="Arial"/>
          <w:sz w:val="20"/>
          <w:szCs w:val="20"/>
        </w:rPr>
      </w:pPr>
      <w:r>
        <w:rPr>
          <w:rFonts w:ascii="Arial" w:hAnsi="Arial" w:cs="Arial"/>
          <w:sz w:val="20"/>
          <w:szCs w:val="20"/>
        </w:rPr>
        <w:t>The advantage of this measure is that it focuses on measurement of the systematic component of total risk rather than the total risk component.  It also address the concern of some that portfolio managers rarely do manage all of the assets of an individual, which means that semi-standard deviation may be an inappropriate risk measure of portfolio management performance.  When the semi-Treynor ratio is used in conjunction with the semi-Sharpe ratio, a better understanding of the risk-adjusted performance of a money manager is had than when traditional measures are used.</w:t>
      </w:r>
    </w:p>
    <w:p w:rsidR="005B67A1" w:rsidRDefault="005B67A1">
      <w:pPr>
        <w:pStyle w:val="Risk-Heading1"/>
        <w:spacing w:line="240" w:lineRule="auto"/>
      </w:pPr>
      <w:r>
        <w:t>Part V: An Analysis of Volatility-Adjusted Portfolio Performance Measures vs. Risk-Adjusted Portfolio Performance Measures</w:t>
      </w:r>
    </w:p>
    <w:p w:rsidR="005B67A1" w:rsidRDefault="005B67A1">
      <w:pPr>
        <w:spacing w:line="360" w:lineRule="auto"/>
        <w:rPr>
          <w:rFonts w:ascii="Arial" w:hAnsi="Arial" w:cs="Arial"/>
          <w:sz w:val="20"/>
          <w:szCs w:val="20"/>
        </w:rPr>
      </w:pPr>
      <w:r>
        <w:rPr>
          <w:rFonts w:ascii="Arial" w:hAnsi="Arial" w:cs="Arial"/>
          <w:sz w:val="20"/>
          <w:szCs w:val="20"/>
        </w:rPr>
        <w:tab/>
        <w:t>Armed with a bevy of both volatility and risk measures it is now time to put each to the test by examining the performance of four separate asset classes.  The asset classes considered are those from the 42 quarter sample that had the most observations.  For each asset class, the author has chosen an appropriate benchmark index.  U.S. equity managers are benchmarked against the Standard and Poors 500 Index (S&amp;P 500); non-U.S. equity managers are benchmarked against the Morgan Stanley Europe, Australia, and Far East Index (MSCI EAFE); U.S. balanced managers are benchmarked against a composite index which is 50% S&amp;P 500, 40% Lehman Brothers Aggregate Bond Index, and 10% 90-Day United States Treasury Bills (50/40/10); and U.S. fixed income managers are benchmarked against the Lehman Brothers Aggregate Bond Index (LB Agg.).  The returns for both the index and the money managers are gross of fees and transactions costs.  The results are summarized in exhibit 3 below.</w:t>
      </w:r>
    </w:p>
    <w:p w:rsidR="005B67A1" w:rsidRDefault="005B67A1">
      <w:pPr>
        <w:tabs>
          <w:tab w:val="left" w:pos="2506"/>
          <w:tab w:val="left" w:pos="3264"/>
          <w:tab w:val="left" w:pos="4114"/>
          <w:tab w:val="left" w:pos="5059"/>
          <w:tab w:val="left" w:pos="5909"/>
          <w:tab w:val="left" w:pos="6682"/>
          <w:tab w:val="left" w:pos="7531"/>
          <w:tab w:val="left" w:pos="8256"/>
          <w:tab w:val="left" w:pos="9106"/>
        </w:tabs>
        <w:spacing w:before="120" w:after="120"/>
        <w:jc w:val="center"/>
        <w:rPr>
          <w:rFonts w:ascii="Arial" w:hAnsi="Arial" w:cs="Arial"/>
          <w:color w:val="000000"/>
          <w:sz w:val="20"/>
          <w:szCs w:val="20"/>
        </w:rPr>
      </w:pPr>
      <w:r>
        <w:rPr>
          <w:rFonts w:ascii="Arial" w:hAnsi="Arial" w:cs="Arial"/>
          <w:b/>
          <w:bCs/>
          <w:color w:val="000000"/>
          <w:sz w:val="20"/>
          <w:szCs w:val="20"/>
        </w:rPr>
        <w:br w:type="page"/>
      </w:r>
      <w:r>
        <w:rPr>
          <w:rFonts w:ascii="Arial" w:hAnsi="Arial" w:cs="Arial"/>
          <w:b/>
          <w:bCs/>
          <w:color w:val="000000"/>
          <w:sz w:val="20"/>
          <w:szCs w:val="20"/>
        </w:rPr>
        <w:lastRenderedPageBreak/>
        <w:t>Exhibit 3: Average Performance Statistics for Money Managers With 42 Quarters of Data:</w:t>
      </w:r>
    </w:p>
    <w:tbl>
      <w:tblPr>
        <w:tblW w:w="0" w:type="auto"/>
        <w:tblLayout w:type="fixed"/>
        <w:tblCellMar>
          <w:left w:w="30" w:type="dxa"/>
          <w:right w:w="30" w:type="dxa"/>
        </w:tblCellMar>
        <w:tblLook w:val="0000" w:firstRow="0" w:lastRow="0" w:firstColumn="0" w:lastColumn="0" w:noHBand="0" w:noVBand="0"/>
      </w:tblPr>
      <w:tblGrid>
        <w:gridCol w:w="2370"/>
        <w:gridCol w:w="774"/>
        <w:gridCol w:w="867"/>
        <w:gridCol w:w="789"/>
        <w:gridCol w:w="810"/>
        <w:gridCol w:w="900"/>
        <w:gridCol w:w="720"/>
        <w:gridCol w:w="720"/>
        <w:gridCol w:w="810"/>
      </w:tblGrid>
      <w:tr w:rsidR="005B67A1">
        <w:trPr>
          <w:trHeight w:val="264"/>
        </w:trPr>
        <w:tc>
          <w:tcPr>
            <w:tcW w:w="2370" w:type="dxa"/>
            <w:tcBorders>
              <w:top w:val="nil"/>
              <w:left w:val="nil"/>
              <w:bottom w:val="nil"/>
              <w:right w:val="nil"/>
            </w:tcBorders>
          </w:tcPr>
          <w:p w:rsidR="005B67A1" w:rsidRDefault="005B67A1">
            <w:pPr>
              <w:jc w:val="right"/>
              <w:rPr>
                <w:rFonts w:ascii="Arial" w:hAnsi="Arial" w:cs="Arial"/>
                <w:color w:val="000000"/>
                <w:sz w:val="20"/>
                <w:szCs w:val="20"/>
              </w:rPr>
            </w:pPr>
          </w:p>
        </w:tc>
        <w:tc>
          <w:tcPr>
            <w:tcW w:w="1641" w:type="dxa"/>
            <w:gridSpan w:val="2"/>
            <w:tcBorders>
              <w:top w:val="nil"/>
              <w:left w:val="nil"/>
              <w:bottom w:val="nil"/>
              <w:right w:val="nil"/>
            </w:tcBorders>
          </w:tcPr>
          <w:p w:rsidR="005B67A1" w:rsidRDefault="005B67A1">
            <w:pPr>
              <w:tabs>
                <w:tab w:val="left" w:pos="31319"/>
              </w:tabs>
              <w:jc w:val="center"/>
              <w:rPr>
                <w:rFonts w:ascii="Arial" w:hAnsi="Arial" w:cs="Arial"/>
                <w:color w:val="000000"/>
                <w:sz w:val="20"/>
                <w:szCs w:val="20"/>
              </w:rPr>
            </w:pPr>
            <w:r>
              <w:rPr>
                <w:rFonts w:ascii="Arial" w:hAnsi="Arial" w:cs="Arial"/>
                <w:color w:val="000000"/>
                <w:sz w:val="20"/>
                <w:szCs w:val="20"/>
              </w:rPr>
              <w:t>U.S.</w:t>
            </w:r>
          </w:p>
          <w:p w:rsidR="005B67A1" w:rsidRDefault="005B67A1">
            <w:pPr>
              <w:tabs>
                <w:tab w:val="left" w:pos="31319"/>
              </w:tabs>
              <w:jc w:val="center"/>
              <w:rPr>
                <w:rFonts w:ascii="Arial" w:hAnsi="Arial" w:cs="Arial"/>
                <w:color w:val="000000"/>
                <w:sz w:val="20"/>
                <w:szCs w:val="20"/>
              </w:rPr>
            </w:pPr>
            <w:r>
              <w:rPr>
                <w:rFonts w:ascii="Arial" w:hAnsi="Arial" w:cs="Arial"/>
                <w:color w:val="000000"/>
                <w:sz w:val="20"/>
                <w:szCs w:val="20"/>
              </w:rPr>
              <w:t>Equity</w:t>
            </w:r>
          </w:p>
        </w:tc>
        <w:tc>
          <w:tcPr>
            <w:tcW w:w="1599" w:type="dxa"/>
            <w:gridSpan w:val="2"/>
            <w:tcBorders>
              <w:top w:val="nil"/>
              <w:left w:val="nil"/>
              <w:bottom w:val="nil"/>
              <w:right w:val="nil"/>
            </w:tcBorders>
          </w:tcPr>
          <w:p w:rsidR="005B67A1" w:rsidRDefault="005B67A1">
            <w:pPr>
              <w:jc w:val="center"/>
              <w:rPr>
                <w:rFonts w:ascii="Arial" w:hAnsi="Arial" w:cs="Arial"/>
                <w:color w:val="000000"/>
                <w:sz w:val="20"/>
                <w:szCs w:val="20"/>
              </w:rPr>
            </w:pPr>
            <w:r>
              <w:rPr>
                <w:rFonts w:ascii="Arial" w:hAnsi="Arial" w:cs="Arial"/>
                <w:color w:val="000000"/>
                <w:sz w:val="20"/>
                <w:szCs w:val="20"/>
              </w:rPr>
              <w:t>Non-U.S.</w:t>
            </w:r>
          </w:p>
          <w:p w:rsidR="005B67A1" w:rsidRDefault="005B67A1">
            <w:pPr>
              <w:jc w:val="center"/>
              <w:rPr>
                <w:rFonts w:ascii="Arial" w:hAnsi="Arial" w:cs="Arial"/>
                <w:color w:val="000000"/>
                <w:sz w:val="20"/>
                <w:szCs w:val="20"/>
              </w:rPr>
            </w:pPr>
            <w:r>
              <w:rPr>
                <w:rFonts w:ascii="Arial" w:hAnsi="Arial" w:cs="Arial"/>
                <w:color w:val="000000"/>
                <w:sz w:val="20"/>
                <w:szCs w:val="20"/>
              </w:rPr>
              <w:t>Equity</w:t>
            </w:r>
          </w:p>
        </w:tc>
        <w:tc>
          <w:tcPr>
            <w:tcW w:w="1620" w:type="dxa"/>
            <w:gridSpan w:val="2"/>
            <w:tcBorders>
              <w:top w:val="nil"/>
              <w:left w:val="nil"/>
              <w:bottom w:val="nil"/>
              <w:right w:val="nil"/>
            </w:tcBorders>
          </w:tcPr>
          <w:p w:rsidR="005B67A1" w:rsidRDefault="005B67A1">
            <w:pPr>
              <w:jc w:val="center"/>
              <w:rPr>
                <w:rFonts w:ascii="Arial" w:hAnsi="Arial" w:cs="Arial"/>
                <w:color w:val="000000"/>
                <w:sz w:val="20"/>
                <w:szCs w:val="20"/>
              </w:rPr>
            </w:pPr>
            <w:r>
              <w:rPr>
                <w:rFonts w:ascii="Arial" w:hAnsi="Arial" w:cs="Arial"/>
                <w:color w:val="000000"/>
                <w:sz w:val="20"/>
                <w:szCs w:val="20"/>
              </w:rPr>
              <w:t>U.S.</w:t>
            </w:r>
          </w:p>
          <w:p w:rsidR="005B67A1" w:rsidRDefault="005B67A1">
            <w:pPr>
              <w:tabs>
                <w:tab w:val="left" w:pos="31319"/>
              </w:tabs>
              <w:jc w:val="center"/>
              <w:rPr>
                <w:rFonts w:ascii="Arial" w:hAnsi="Arial" w:cs="Arial"/>
                <w:color w:val="000000"/>
                <w:sz w:val="20"/>
                <w:szCs w:val="20"/>
              </w:rPr>
            </w:pPr>
            <w:r>
              <w:rPr>
                <w:rFonts w:ascii="Arial" w:hAnsi="Arial" w:cs="Arial"/>
                <w:color w:val="000000"/>
                <w:sz w:val="20"/>
                <w:szCs w:val="20"/>
              </w:rPr>
              <w:t>Balanced</w:t>
            </w:r>
          </w:p>
        </w:tc>
        <w:tc>
          <w:tcPr>
            <w:tcW w:w="1530" w:type="dxa"/>
            <w:gridSpan w:val="2"/>
            <w:tcBorders>
              <w:top w:val="nil"/>
              <w:left w:val="nil"/>
              <w:bottom w:val="nil"/>
              <w:right w:val="nil"/>
            </w:tcBorders>
          </w:tcPr>
          <w:p w:rsidR="005B67A1" w:rsidRDefault="005B67A1">
            <w:pPr>
              <w:jc w:val="center"/>
              <w:rPr>
                <w:rFonts w:ascii="Arial" w:hAnsi="Arial" w:cs="Arial"/>
                <w:color w:val="000000"/>
                <w:sz w:val="20"/>
                <w:szCs w:val="20"/>
              </w:rPr>
            </w:pPr>
            <w:r>
              <w:rPr>
                <w:rFonts w:ascii="Arial" w:hAnsi="Arial" w:cs="Arial"/>
                <w:color w:val="000000"/>
                <w:sz w:val="20"/>
                <w:szCs w:val="20"/>
              </w:rPr>
              <w:t>U.S. Fixed Income</w:t>
            </w:r>
          </w:p>
        </w:tc>
      </w:tr>
      <w:tr w:rsidR="005B67A1">
        <w:trPr>
          <w:trHeight w:val="264"/>
        </w:trPr>
        <w:tc>
          <w:tcPr>
            <w:tcW w:w="2370" w:type="dxa"/>
            <w:tcBorders>
              <w:top w:val="nil"/>
              <w:left w:val="nil"/>
              <w:bottom w:val="nil"/>
              <w:right w:val="nil"/>
            </w:tcBorders>
          </w:tcPr>
          <w:p w:rsidR="005B67A1" w:rsidRDefault="005B67A1">
            <w:pPr>
              <w:jc w:val="right"/>
              <w:rPr>
                <w:rFonts w:ascii="Arial" w:hAnsi="Arial" w:cs="Arial"/>
                <w:color w:val="000000"/>
                <w:sz w:val="20"/>
                <w:szCs w:val="20"/>
              </w:rPr>
            </w:pPr>
          </w:p>
        </w:tc>
        <w:tc>
          <w:tcPr>
            <w:tcW w:w="774" w:type="dxa"/>
            <w:tcBorders>
              <w:top w:val="single" w:sz="12" w:space="0" w:color="000000"/>
              <w:left w:val="single" w:sz="12" w:space="0" w:color="000000"/>
              <w:bottom w:val="single" w:sz="12" w:space="0" w:color="000000"/>
              <w:right w:val="nil"/>
            </w:tcBorders>
          </w:tcPr>
          <w:p w:rsidR="005B67A1" w:rsidRDefault="005B67A1">
            <w:pPr>
              <w:jc w:val="center"/>
              <w:rPr>
                <w:rFonts w:ascii="Arial" w:hAnsi="Arial" w:cs="Arial"/>
                <w:color w:val="000000"/>
                <w:sz w:val="20"/>
                <w:szCs w:val="20"/>
              </w:rPr>
            </w:pPr>
            <w:r>
              <w:rPr>
                <w:rFonts w:ascii="Arial" w:hAnsi="Arial" w:cs="Arial"/>
                <w:color w:val="000000"/>
                <w:sz w:val="20"/>
                <w:szCs w:val="20"/>
              </w:rPr>
              <w:t>S&amp;P 500</w:t>
            </w:r>
          </w:p>
        </w:tc>
        <w:tc>
          <w:tcPr>
            <w:tcW w:w="867" w:type="dxa"/>
            <w:tcBorders>
              <w:top w:val="single" w:sz="12" w:space="0" w:color="000000"/>
              <w:left w:val="dotted" w:sz="6" w:space="0" w:color="000000"/>
              <w:bottom w:val="single" w:sz="12" w:space="0" w:color="000000"/>
              <w:right w:val="single" w:sz="12" w:space="0" w:color="000000"/>
            </w:tcBorders>
          </w:tcPr>
          <w:p w:rsidR="005B67A1" w:rsidRDefault="005B67A1">
            <w:pPr>
              <w:jc w:val="center"/>
              <w:rPr>
                <w:rFonts w:ascii="Arial" w:hAnsi="Arial" w:cs="Arial"/>
                <w:color w:val="000000"/>
                <w:sz w:val="20"/>
                <w:szCs w:val="20"/>
              </w:rPr>
            </w:pPr>
            <w:r>
              <w:rPr>
                <w:rFonts w:ascii="Arial" w:hAnsi="Arial" w:cs="Arial"/>
                <w:color w:val="000000"/>
                <w:sz w:val="20"/>
                <w:szCs w:val="20"/>
              </w:rPr>
              <w:t>Avg. Mgr.</w:t>
            </w:r>
          </w:p>
        </w:tc>
        <w:tc>
          <w:tcPr>
            <w:tcW w:w="789" w:type="dxa"/>
            <w:tcBorders>
              <w:top w:val="single" w:sz="12" w:space="0" w:color="000000"/>
              <w:left w:val="single" w:sz="12" w:space="0" w:color="000000"/>
              <w:bottom w:val="single" w:sz="12" w:space="0" w:color="000000"/>
              <w:right w:val="nil"/>
            </w:tcBorders>
          </w:tcPr>
          <w:p w:rsidR="005B67A1" w:rsidRDefault="005B67A1">
            <w:pPr>
              <w:jc w:val="center"/>
              <w:rPr>
                <w:rFonts w:ascii="Arial" w:hAnsi="Arial" w:cs="Arial"/>
                <w:color w:val="000000"/>
                <w:sz w:val="20"/>
                <w:szCs w:val="20"/>
              </w:rPr>
            </w:pPr>
            <w:r>
              <w:rPr>
                <w:rFonts w:ascii="Arial" w:hAnsi="Arial" w:cs="Arial"/>
                <w:color w:val="000000"/>
                <w:sz w:val="20"/>
                <w:szCs w:val="20"/>
              </w:rPr>
              <w:t>MSCI EAFE</w:t>
            </w:r>
          </w:p>
        </w:tc>
        <w:tc>
          <w:tcPr>
            <w:tcW w:w="810" w:type="dxa"/>
            <w:tcBorders>
              <w:top w:val="single" w:sz="12" w:space="0" w:color="000000"/>
              <w:left w:val="dotted" w:sz="6" w:space="0" w:color="000000"/>
              <w:bottom w:val="single" w:sz="12" w:space="0" w:color="000000"/>
              <w:right w:val="single" w:sz="12" w:space="0" w:color="000000"/>
            </w:tcBorders>
          </w:tcPr>
          <w:p w:rsidR="005B67A1" w:rsidRDefault="005B67A1">
            <w:pPr>
              <w:jc w:val="center"/>
              <w:rPr>
                <w:rFonts w:ascii="Arial" w:hAnsi="Arial" w:cs="Arial"/>
                <w:color w:val="000000"/>
                <w:sz w:val="20"/>
                <w:szCs w:val="20"/>
              </w:rPr>
            </w:pPr>
            <w:r>
              <w:rPr>
                <w:rFonts w:ascii="Arial" w:hAnsi="Arial" w:cs="Arial"/>
                <w:color w:val="000000"/>
                <w:sz w:val="20"/>
                <w:szCs w:val="20"/>
              </w:rPr>
              <w:t>Avg. Mgr.</w:t>
            </w:r>
          </w:p>
        </w:tc>
        <w:tc>
          <w:tcPr>
            <w:tcW w:w="900" w:type="dxa"/>
            <w:tcBorders>
              <w:top w:val="single" w:sz="12" w:space="0" w:color="000000"/>
              <w:left w:val="single" w:sz="12" w:space="0" w:color="000000"/>
              <w:bottom w:val="single" w:sz="12" w:space="0" w:color="000000"/>
              <w:right w:val="nil"/>
            </w:tcBorders>
          </w:tcPr>
          <w:p w:rsidR="005B67A1" w:rsidRDefault="005B67A1">
            <w:pPr>
              <w:jc w:val="center"/>
              <w:rPr>
                <w:rFonts w:ascii="Arial" w:hAnsi="Arial" w:cs="Arial"/>
                <w:color w:val="000000"/>
                <w:sz w:val="20"/>
                <w:szCs w:val="20"/>
              </w:rPr>
            </w:pPr>
            <w:r>
              <w:rPr>
                <w:rFonts w:ascii="Arial" w:hAnsi="Arial" w:cs="Arial"/>
                <w:color w:val="000000"/>
                <w:sz w:val="20"/>
                <w:szCs w:val="20"/>
              </w:rPr>
              <w:t>50/40/10</w:t>
            </w:r>
          </w:p>
        </w:tc>
        <w:tc>
          <w:tcPr>
            <w:tcW w:w="720" w:type="dxa"/>
            <w:tcBorders>
              <w:top w:val="single" w:sz="12" w:space="0" w:color="000000"/>
              <w:left w:val="dotted" w:sz="6" w:space="0" w:color="000000"/>
              <w:bottom w:val="single" w:sz="12" w:space="0" w:color="000000"/>
              <w:right w:val="single" w:sz="12" w:space="0" w:color="000000"/>
            </w:tcBorders>
          </w:tcPr>
          <w:p w:rsidR="005B67A1" w:rsidRDefault="005B67A1">
            <w:pPr>
              <w:jc w:val="center"/>
              <w:rPr>
                <w:rFonts w:ascii="Arial" w:hAnsi="Arial" w:cs="Arial"/>
                <w:color w:val="000000"/>
                <w:sz w:val="20"/>
                <w:szCs w:val="20"/>
              </w:rPr>
            </w:pPr>
            <w:r>
              <w:rPr>
                <w:rFonts w:ascii="Arial" w:hAnsi="Arial" w:cs="Arial"/>
                <w:color w:val="000000"/>
                <w:sz w:val="20"/>
                <w:szCs w:val="20"/>
              </w:rPr>
              <w:t>Avg. Mgr.</w:t>
            </w:r>
          </w:p>
        </w:tc>
        <w:tc>
          <w:tcPr>
            <w:tcW w:w="720" w:type="dxa"/>
            <w:tcBorders>
              <w:top w:val="single" w:sz="12" w:space="0" w:color="000000"/>
              <w:left w:val="single" w:sz="12" w:space="0" w:color="000000"/>
              <w:bottom w:val="single" w:sz="12" w:space="0" w:color="000000"/>
              <w:right w:val="nil"/>
            </w:tcBorders>
          </w:tcPr>
          <w:p w:rsidR="005B67A1" w:rsidRDefault="005B67A1">
            <w:pPr>
              <w:jc w:val="center"/>
              <w:rPr>
                <w:rFonts w:ascii="Arial" w:hAnsi="Arial" w:cs="Arial"/>
                <w:color w:val="000000"/>
                <w:sz w:val="20"/>
                <w:szCs w:val="20"/>
              </w:rPr>
            </w:pPr>
            <w:r>
              <w:rPr>
                <w:rFonts w:ascii="Arial" w:hAnsi="Arial" w:cs="Arial"/>
                <w:color w:val="000000"/>
                <w:sz w:val="20"/>
                <w:szCs w:val="20"/>
              </w:rPr>
              <w:t>LB Agg.</w:t>
            </w:r>
          </w:p>
        </w:tc>
        <w:tc>
          <w:tcPr>
            <w:tcW w:w="810" w:type="dxa"/>
            <w:tcBorders>
              <w:top w:val="single" w:sz="12" w:space="0" w:color="000000"/>
              <w:left w:val="dotted" w:sz="6" w:space="0" w:color="000000"/>
              <w:bottom w:val="single" w:sz="12" w:space="0" w:color="000000"/>
              <w:right w:val="single" w:sz="12" w:space="0" w:color="000000"/>
            </w:tcBorders>
          </w:tcPr>
          <w:p w:rsidR="005B67A1" w:rsidRDefault="005B67A1">
            <w:pPr>
              <w:jc w:val="center"/>
              <w:rPr>
                <w:rFonts w:ascii="Arial" w:hAnsi="Arial" w:cs="Arial"/>
                <w:color w:val="000000"/>
                <w:sz w:val="20"/>
                <w:szCs w:val="20"/>
              </w:rPr>
            </w:pPr>
            <w:r>
              <w:rPr>
                <w:rFonts w:ascii="Arial" w:hAnsi="Arial" w:cs="Arial"/>
                <w:color w:val="000000"/>
                <w:sz w:val="20"/>
                <w:szCs w:val="20"/>
              </w:rPr>
              <w:t>Avg. Mgr.</w:t>
            </w:r>
          </w:p>
        </w:tc>
      </w:tr>
      <w:tr w:rsidR="005B67A1">
        <w:trPr>
          <w:trHeight w:val="250"/>
        </w:trPr>
        <w:tc>
          <w:tcPr>
            <w:tcW w:w="2370" w:type="dxa"/>
            <w:tcBorders>
              <w:top w:val="single" w:sz="12" w:space="0" w:color="auto"/>
              <w:left w:val="single" w:sz="12" w:space="0" w:color="000000"/>
              <w:bottom w:val="nil"/>
              <w:right w:val="nil"/>
            </w:tcBorders>
            <w:shd w:val="pct5" w:color="auto" w:fill="auto"/>
          </w:tcPr>
          <w:p w:rsidR="005B67A1" w:rsidRDefault="005B67A1">
            <w:pPr>
              <w:rPr>
                <w:rFonts w:ascii="Arial" w:hAnsi="Arial" w:cs="Arial"/>
                <w:color w:val="000000"/>
                <w:sz w:val="20"/>
                <w:szCs w:val="20"/>
              </w:rPr>
            </w:pPr>
            <w:r>
              <w:rPr>
                <w:rFonts w:ascii="Arial" w:hAnsi="Arial" w:cs="Arial"/>
                <w:color w:val="000000"/>
                <w:sz w:val="20"/>
                <w:szCs w:val="20"/>
              </w:rPr>
              <w:t>Alpha</w:t>
            </w:r>
          </w:p>
        </w:tc>
        <w:tc>
          <w:tcPr>
            <w:tcW w:w="774" w:type="dxa"/>
            <w:tcBorders>
              <w:top w:val="nil"/>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0.00</w:t>
            </w:r>
          </w:p>
        </w:tc>
        <w:tc>
          <w:tcPr>
            <w:tcW w:w="867" w:type="dxa"/>
            <w:tcBorders>
              <w:top w:val="nil"/>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0.04</w:t>
            </w:r>
          </w:p>
        </w:tc>
        <w:tc>
          <w:tcPr>
            <w:tcW w:w="789" w:type="dxa"/>
            <w:tcBorders>
              <w:top w:val="nil"/>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0.00</w:t>
            </w:r>
          </w:p>
        </w:tc>
        <w:tc>
          <w:tcPr>
            <w:tcW w:w="810" w:type="dxa"/>
            <w:tcBorders>
              <w:top w:val="nil"/>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1.33</w:t>
            </w:r>
          </w:p>
        </w:tc>
        <w:tc>
          <w:tcPr>
            <w:tcW w:w="900" w:type="dxa"/>
            <w:tcBorders>
              <w:top w:val="nil"/>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0.00</w:t>
            </w:r>
          </w:p>
        </w:tc>
        <w:tc>
          <w:tcPr>
            <w:tcW w:w="720" w:type="dxa"/>
            <w:tcBorders>
              <w:top w:val="nil"/>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0.02</w:t>
            </w:r>
          </w:p>
        </w:tc>
        <w:tc>
          <w:tcPr>
            <w:tcW w:w="720" w:type="dxa"/>
            <w:tcBorders>
              <w:top w:val="nil"/>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0.00</w:t>
            </w:r>
          </w:p>
        </w:tc>
        <w:tc>
          <w:tcPr>
            <w:tcW w:w="810" w:type="dxa"/>
            <w:tcBorders>
              <w:top w:val="nil"/>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0.15</w:t>
            </w:r>
          </w:p>
        </w:tc>
      </w:tr>
      <w:tr w:rsidR="005B67A1">
        <w:trPr>
          <w:trHeight w:val="250"/>
        </w:trPr>
        <w:tc>
          <w:tcPr>
            <w:tcW w:w="2370" w:type="dxa"/>
            <w:tcBorders>
              <w:top w:val="nil"/>
              <w:left w:val="single" w:sz="12" w:space="0" w:color="000000"/>
              <w:bottom w:val="nil"/>
              <w:right w:val="nil"/>
            </w:tcBorders>
          </w:tcPr>
          <w:p w:rsidR="005B67A1" w:rsidRDefault="005B67A1">
            <w:pPr>
              <w:rPr>
                <w:rFonts w:ascii="Arial" w:hAnsi="Arial" w:cs="Arial"/>
                <w:color w:val="000000"/>
                <w:sz w:val="20"/>
                <w:szCs w:val="20"/>
              </w:rPr>
            </w:pPr>
            <w:r>
              <w:rPr>
                <w:rFonts w:ascii="Arial" w:hAnsi="Arial" w:cs="Arial"/>
                <w:color w:val="000000"/>
                <w:sz w:val="20"/>
                <w:szCs w:val="20"/>
              </w:rPr>
              <w:t>Beta</w:t>
            </w:r>
          </w:p>
        </w:tc>
        <w:tc>
          <w:tcPr>
            <w:tcW w:w="774" w:type="dxa"/>
            <w:tcBorders>
              <w:top w:val="nil"/>
              <w:left w:val="single" w:sz="12" w:space="0" w:color="000000"/>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1.00</w:t>
            </w:r>
          </w:p>
        </w:tc>
        <w:tc>
          <w:tcPr>
            <w:tcW w:w="867"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0.98</w:t>
            </w:r>
          </w:p>
        </w:tc>
        <w:tc>
          <w:tcPr>
            <w:tcW w:w="789" w:type="dxa"/>
            <w:tcBorders>
              <w:top w:val="nil"/>
              <w:left w:val="single" w:sz="12" w:space="0" w:color="000000"/>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1.00</w:t>
            </w:r>
          </w:p>
        </w:tc>
        <w:tc>
          <w:tcPr>
            <w:tcW w:w="810"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0.65</w:t>
            </w:r>
          </w:p>
        </w:tc>
        <w:tc>
          <w:tcPr>
            <w:tcW w:w="900" w:type="dxa"/>
            <w:tcBorders>
              <w:top w:val="nil"/>
              <w:left w:val="single" w:sz="12" w:space="0" w:color="000000"/>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1.00</w:t>
            </w:r>
          </w:p>
        </w:tc>
        <w:tc>
          <w:tcPr>
            <w:tcW w:w="720"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1.07</w:t>
            </w:r>
          </w:p>
        </w:tc>
        <w:tc>
          <w:tcPr>
            <w:tcW w:w="720" w:type="dxa"/>
            <w:tcBorders>
              <w:top w:val="nil"/>
              <w:left w:val="single" w:sz="12" w:space="0" w:color="000000"/>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1.00</w:t>
            </w:r>
          </w:p>
        </w:tc>
        <w:tc>
          <w:tcPr>
            <w:tcW w:w="810"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0.77</w:t>
            </w:r>
          </w:p>
        </w:tc>
      </w:tr>
      <w:tr w:rsidR="005B67A1">
        <w:trPr>
          <w:trHeight w:val="250"/>
        </w:trPr>
        <w:tc>
          <w:tcPr>
            <w:tcW w:w="2370" w:type="dxa"/>
            <w:tcBorders>
              <w:top w:val="nil"/>
              <w:left w:val="single" w:sz="12" w:space="0" w:color="000000"/>
              <w:bottom w:val="nil"/>
              <w:right w:val="nil"/>
            </w:tcBorders>
            <w:shd w:val="pct5" w:color="auto" w:fill="auto"/>
          </w:tcPr>
          <w:p w:rsidR="005B67A1" w:rsidRDefault="005B67A1">
            <w:pPr>
              <w:rPr>
                <w:rFonts w:ascii="Arial" w:hAnsi="Arial" w:cs="Arial"/>
                <w:color w:val="000000"/>
                <w:sz w:val="20"/>
                <w:szCs w:val="20"/>
              </w:rPr>
            </w:pPr>
            <w:r>
              <w:rPr>
                <w:rFonts w:ascii="Arial" w:hAnsi="Arial" w:cs="Arial"/>
                <w:color w:val="000000"/>
                <w:sz w:val="20"/>
                <w:szCs w:val="20"/>
              </w:rPr>
              <w:t>Standard Deviation</w:t>
            </w:r>
          </w:p>
        </w:tc>
        <w:tc>
          <w:tcPr>
            <w:tcW w:w="774" w:type="dxa"/>
            <w:tcBorders>
              <w:top w:val="nil"/>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14.24</w:t>
            </w:r>
          </w:p>
        </w:tc>
        <w:tc>
          <w:tcPr>
            <w:tcW w:w="867" w:type="dxa"/>
            <w:tcBorders>
              <w:top w:val="nil"/>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16.18</w:t>
            </w:r>
          </w:p>
        </w:tc>
        <w:tc>
          <w:tcPr>
            <w:tcW w:w="789" w:type="dxa"/>
            <w:tcBorders>
              <w:top w:val="nil"/>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17.45</w:t>
            </w:r>
          </w:p>
        </w:tc>
        <w:tc>
          <w:tcPr>
            <w:tcW w:w="810" w:type="dxa"/>
            <w:tcBorders>
              <w:top w:val="nil"/>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17.02</w:t>
            </w:r>
          </w:p>
        </w:tc>
        <w:tc>
          <w:tcPr>
            <w:tcW w:w="900" w:type="dxa"/>
            <w:tcBorders>
              <w:top w:val="nil"/>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7.71</w:t>
            </w:r>
          </w:p>
        </w:tc>
        <w:tc>
          <w:tcPr>
            <w:tcW w:w="720" w:type="dxa"/>
            <w:tcBorders>
              <w:top w:val="nil"/>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9.26</w:t>
            </w:r>
          </w:p>
        </w:tc>
        <w:tc>
          <w:tcPr>
            <w:tcW w:w="720" w:type="dxa"/>
            <w:tcBorders>
              <w:top w:val="nil"/>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5.05</w:t>
            </w:r>
          </w:p>
        </w:tc>
        <w:tc>
          <w:tcPr>
            <w:tcW w:w="810" w:type="dxa"/>
            <w:tcBorders>
              <w:top w:val="nil"/>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4.69</w:t>
            </w:r>
          </w:p>
        </w:tc>
      </w:tr>
      <w:tr w:rsidR="005B67A1">
        <w:trPr>
          <w:trHeight w:val="499"/>
        </w:trPr>
        <w:tc>
          <w:tcPr>
            <w:tcW w:w="2370" w:type="dxa"/>
            <w:tcBorders>
              <w:top w:val="nil"/>
              <w:left w:val="single" w:sz="12" w:space="0" w:color="000000"/>
              <w:bottom w:val="nil"/>
              <w:right w:val="nil"/>
            </w:tcBorders>
          </w:tcPr>
          <w:p w:rsidR="005B67A1" w:rsidRDefault="005B67A1">
            <w:pPr>
              <w:ind w:left="180" w:hanging="180"/>
              <w:rPr>
                <w:rFonts w:ascii="Arial" w:hAnsi="Arial" w:cs="Arial"/>
                <w:color w:val="000000"/>
                <w:sz w:val="20"/>
                <w:szCs w:val="20"/>
              </w:rPr>
            </w:pPr>
            <w:r>
              <w:rPr>
                <w:rFonts w:ascii="Arial" w:hAnsi="Arial" w:cs="Arial"/>
                <w:color w:val="000000"/>
                <w:sz w:val="20"/>
                <w:szCs w:val="20"/>
              </w:rPr>
              <w:t>Annualized Excess Return Over T-Bills</w:t>
            </w:r>
          </w:p>
        </w:tc>
        <w:tc>
          <w:tcPr>
            <w:tcW w:w="774" w:type="dxa"/>
            <w:tcBorders>
              <w:top w:val="nil"/>
              <w:left w:val="single" w:sz="12" w:space="0" w:color="000000"/>
              <w:bottom w:val="nil"/>
              <w:right w:val="nil"/>
            </w:tcBorders>
          </w:tcPr>
          <w:p w:rsidR="005B67A1" w:rsidRDefault="005B67A1">
            <w:pPr>
              <w:jc w:val="right"/>
              <w:rPr>
                <w:rFonts w:ascii="Arial" w:hAnsi="Arial" w:cs="Arial"/>
                <w:color w:val="000000"/>
                <w:sz w:val="20"/>
                <w:szCs w:val="20"/>
              </w:rPr>
            </w:pPr>
          </w:p>
          <w:p w:rsidR="005B67A1" w:rsidRDefault="005B67A1">
            <w:pPr>
              <w:jc w:val="right"/>
              <w:rPr>
                <w:rFonts w:ascii="Arial" w:hAnsi="Arial" w:cs="Arial"/>
                <w:color w:val="000000"/>
                <w:sz w:val="20"/>
                <w:szCs w:val="20"/>
              </w:rPr>
            </w:pPr>
            <w:r>
              <w:rPr>
                <w:rFonts w:ascii="Arial" w:hAnsi="Arial" w:cs="Arial"/>
                <w:color w:val="000000"/>
                <w:sz w:val="20"/>
                <w:szCs w:val="20"/>
              </w:rPr>
              <w:t>10.95</w:t>
            </w:r>
          </w:p>
        </w:tc>
        <w:tc>
          <w:tcPr>
            <w:tcW w:w="867"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p>
          <w:p w:rsidR="005B67A1" w:rsidRDefault="005B67A1">
            <w:pPr>
              <w:jc w:val="right"/>
              <w:rPr>
                <w:rFonts w:ascii="Arial" w:hAnsi="Arial" w:cs="Arial"/>
                <w:color w:val="000000"/>
                <w:sz w:val="20"/>
                <w:szCs w:val="20"/>
              </w:rPr>
            </w:pPr>
            <w:r>
              <w:rPr>
                <w:rFonts w:ascii="Arial" w:hAnsi="Arial" w:cs="Arial"/>
                <w:color w:val="000000"/>
                <w:sz w:val="20"/>
                <w:szCs w:val="20"/>
              </w:rPr>
              <w:t>10.51</w:t>
            </w:r>
          </w:p>
        </w:tc>
        <w:tc>
          <w:tcPr>
            <w:tcW w:w="789" w:type="dxa"/>
            <w:tcBorders>
              <w:top w:val="nil"/>
              <w:left w:val="single" w:sz="12" w:space="0" w:color="000000"/>
              <w:bottom w:val="nil"/>
              <w:right w:val="nil"/>
            </w:tcBorders>
          </w:tcPr>
          <w:p w:rsidR="005B67A1" w:rsidRDefault="005B67A1">
            <w:pPr>
              <w:jc w:val="right"/>
              <w:rPr>
                <w:rFonts w:ascii="Arial" w:hAnsi="Arial" w:cs="Arial"/>
                <w:color w:val="000000"/>
                <w:sz w:val="20"/>
                <w:szCs w:val="20"/>
              </w:rPr>
            </w:pPr>
          </w:p>
          <w:p w:rsidR="005B67A1" w:rsidRDefault="005B67A1">
            <w:pPr>
              <w:jc w:val="right"/>
              <w:rPr>
                <w:rFonts w:ascii="Arial" w:hAnsi="Arial" w:cs="Arial"/>
                <w:color w:val="000000"/>
                <w:sz w:val="20"/>
                <w:szCs w:val="20"/>
              </w:rPr>
            </w:pPr>
            <w:r>
              <w:rPr>
                <w:rFonts w:ascii="Arial" w:hAnsi="Arial" w:cs="Arial"/>
                <w:color w:val="000000"/>
                <w:sz w:val="20"/>
                <w:szCs w:val="20"/>
              </w:rPr>
              <w:t>4.02</w:t>
            </w:r>
          </w:p>
        </w:tc>
        <w:tc>
          <w:tcPr>
            <w:tcW w:w="810"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p>
          <w:p w:rsidR="005B67A1" w:rsidRDefault="005B67A1">
            <w:pPr>
              <w:jc w:val="right"/>
              <w:rPr>
                <w:rFonts w:ascii="Arial" w:hAnsi="Arial" w:cs="Arial"/>
                <w:color w:val="000000"/>
                <w:sz w:val="20"/>
                <w:szCs w:val="20"/>
              </w:rPr>
            </w:pPr>
            <w:r>
              <w:rPr>
                <w:rFonts w:ascii="Arial" w:hAnsi="Arial" w:cs="Arial"/>
                <w:color w:val="000000"/>
                <w:sz w:val="20"/>
                <w:szCs w:val="20"/>
              </w:rPr>
              <w:t>7.54</w:t>
            </w:r>
          </w:p>
        </w:tc>
        <w:tc>
          <w:tcPr>
            <w:tcW w:w="900" w:type="dxa"/>
            <w:tcBorders>
              <w:top w:val="nil"/>
              <w:left w:val="single" w:sz="12" w:space="0" w:color="000000"/>
              <w:bottom w:val="nil"/>
              <w:right w:val="nil"/>
            </w:tcBorders>
          </w:tcPr>
          <w:p w:rsidR="005B67A1" w:rsidRDefault="005B67A1">
            <w:pPr>
              <w:jc w:val="right"/>
              <w:rPr>
                <w:rFonts w:ascii="Arial" w:hAnsi="Arial" w:cs="Arial"/>
                <w:color w:val="000000"/>
                <w:sz w:val="20"/>
                <w:szCs w:val="20"/>
              </w:rPr>
            </w:pPr>
          </w:p>
          <w:p w:rsidR="005B67A1" w:rsidRDefault="005B67A1">
            <w:pPr>
              <w:jc w:val="right"/>
              <w:rPr>
                <w:rFonts w:ascii="Arial" w:hAnsi="Arial" w:cs="Arial"/>
                <w:color w:val="000000"/>
                <w:sz w:val="20"/>
                <w:szCs w:val="20"/>
              </w:rPr>
            </w:pPr>
            <w:r>
              <w:rPr>
                <w:rFonts w:ascii="Arial" w:hAnsi="Arial" w:cs="Arial"/>
                <w:color w:val="000000"/>
                <w:sz w:val="20"/>
                <w:szCs w:val="20"/>
              </w:rPr>
              <w:t>6.89</w:t>
            </w:r>
          </w:p>
        </w:tc>
        <w:tc>
          <w:tcPr>
            <w:tcW w:w="720"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p>
          <w:p w:rsidR="005B67A1" w:rsidRDefault="005B67A1">
            <w:pPr>
              <w:jc w:val="right"/>
              <w:rPr>
                <w:rFonts w:ascii="Arial" w:hAnsi="Arial" w:cs="Arial"/>
                <w:color w:val="000000"/>
                <w:sz w:val="20"/>
                <w:szCs w:val="20"/>
              </w:rPr>
            </w:pPr>
            <w:r>
              <w:rPr>
                <w:rFonts w:ascii="Arial" w:hAnsi="Arial" w:cs="Arial"/>
                <w:color w:val="000000"/>
                <w:sz w:val="20"/>
                <w:szCs w:val="20"/>
              </w:rPr>
              <w:t>7.35</w:t>
            </w:r>
          </w:p>
        </w:tc>
        <w:tc>
          <w:tcPr>
            <w:tcW w:w="720" w:type="dxa"/>
            <w:tcBorders>
              <w:top w:val="nil"/>
              <w:left w:val="single" w:sz="12" w:space="0" w:color="000000"/>
              <w:bottom w:val="nil"/>
              <w:right w:val="nil"/>
            </w:tcBorders>
          </w:tcPr>
          <w:p w:rsidR="005B67A1" w:rsidRDefault="005B67A1">
            <w:pPr>
              <w:jc w:val="right"/>
              <w:rPr>
                <w:rFonts w:ascii="Arial" w:hAnsi="Arial" w:cs="Arial"/>
                <w:color w:val="000000"/>
                <w:sz w:val="20"/>
                <w:szCs w:val="20"/>
              </w:rPr>
            </w:pPr>
          </w:p>
          <w:p w:rsidR="005B67A1" w:rsidRDefault="005B67A1">
            <w:pPr>
              <w:jc w:val="right"/>
              <w:rPr>
                <w:rFonts w:ascii="Arial" w:hAnsi="Arial" w:cs="Arial"/>
                <w:color w:val="000000"/>
                <w:sz w:val="20"/>
                <w:szCs w:val="20"/>
              </w:rPr>
            </w:pPr>
            <w:r>
              <w:rPr>
                <w:rFonts w:ascii="Arial" w:hAnsi="Arial" w:cs="Arial"/>
                <w:color w:val="000000"/>
                <w:sz w:val="20"/>
                <w:szCs w:val="20"/>
              </w:rPr>
              <w:t>3.05</w:t>
            </w:r>
          </w:p>
        </w:tc>
        <w:tc>
          <w:tcPr>
            <w:tcW w:w="810"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p>
          <w:p w:rsidR="005B67A1" w:rsidRDefault="005B67A1">
            <w:pPr>
              <w:jc w:val="right"/>
              <w:rPr>
                <w:rFonts w:ascii="Arial" w:hAnsi="Arial" w:cs="Arial"/>
                <w:color w:val="000000"/>
                <w:sz w:val="20"/>
                <w:szCs w:val="20"/>
              </w:rPr>
            </w:pPr>
            <w:r>
              <w:rPr>
                <w:rFonts w:ascii="Arial" w:hAnsi="Arial" w:cs="Arial"/>
                <w:color w:val="000000"/>
                <w:sz w:val="20"/>
                <w:szCs w:val="20"/>
              </w:rPr>
              <w:t>2.93</w:t>
            </w:r>
          </w:p>
        </w:tc>
      </w:tr>
      <w:tr w:rsidR="005B67A1">
        <w:trPr>
          <w:trHeight w:val="250"/>
        </w:trPr>
        <w:tc>
          <w:tcPr>
            <w:tcW w:w="2370" w:type="dxa"/>
            <w:tcBorders>
              <w:top w:val="nil"/>
              <w:left w:val="single" w:sz="12" w:space="0" w:color="000000"/>
              <w:bottom w:val="nil"/>
              <w:right w:val="nil"/>
            </w:tcBorders>
            <w:shd w:val="pct5" w:color="auto" w:fill="auto"/>
          </w:tcPr>
          <w:p w:rsidR="005B67A1" w:rsidRDefault="005B67A1">
            <w:pPr>
              <w:rPr>
                <w:rFonts w:ascii="Arial" w:hAnsi="Arial" w:cs="Arial"/>
                <w:color w:val="000000"/>
                <w:sz w:val="20"/>
                <w:szCs w:val="20"/>
              </w:rPr>
            </w:pPr>
            <w:r>
              <w:rPr>
                <w:rFonts w:ascii="Arial" w:hAnsi="Arial" w:cs="Arial"/>
                <w:color w:val="000000"/>
                <w:sz w:val="20"/>
                <w:szCs w:val="20"/>
              </w:rPr>
              <w:t>Sharpe Ratio</w:t>
            </w:r>
          </w:p>
        </w:tc>
        <w:tc>
          <w:tcPr>
            <w:tcW w:w="774" w:type="dxa"/>
            <w:tcBorders>
              <w:top w:val="nil"/>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0.77</w:t>
            </w:r>
          </w:p>
        </w:tc>
        <w:tc>
          <w:tcPr>
            <w:tcW w:w="867" w:type="dxa"/>
            <w:tcBorders>
              <w:top w:val="nil"/>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0.68</w:t>
            </w:r>
          </w:p>
        </w:tc>
        <w:tc>
          <w:tcPr>
            <w:tcW w:w="789" w:type="dxa"/>
            <w:tcBorders>
              <w:top w:val="nil"/>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0.23</w:t>
            </w:r>
          </w:p>
        </w:tc>
        <w:tc>
          <w:tcPr>
            <w:tcW w:w="810" w:type="dxa"/>
            <w:tcBorders>
              <w:top w:val="nil"/>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0.47</w:t>
            </w:r>
          </w:p>
        </w:tc>
        <w:tc>
          <w:tcPr>
            <w:tcW w:w="900" w:type="dxa"/>
            <w:tcBorders>
              <w:top w:val="nil"/>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0.89</w:t>
            </w:r>
          </w:p>
        </w:tc>
        <w:tc>
          <w:tcPr>
            <w:tcW w:w="720" w:type="dxa"/>
            <w:tcBorders>
              <w:top w:val="nil"/>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0.82</w:t>
            </w:r>
          </w:p>
        </w:tc>
        <w:tc>
          <w:tcPr>
            <w:tcW w:w="720" w:type="dxa"/>
            <w:tcBorders>
              <w:top w:val="nil"/>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0.60</w:t>
            </w:r>
          </w:p>
        </w:tc>
        <w:tc>
          <w:tcPr>
            <w:tcW w:w="810" w:type="dxa"/>
            <w:tcBorders>
              <w:top w:val="nil"/>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0.76</w:t>
            </w:r>
          </w:p>
        </w:tc>
      </w:tr>
      <w:tr w:rsidR="005B67A1">
        <w:trPr>
          <w:trHeight w:val="264"/>
        </w:trPr>
        <w:tc>
          <w:tcPr>
            <w:tcW w:w="2370" w:type="dxa"/>
            <w:tcBorders>
              <w:top w:val="nil"/>
              <w:left w:val="single" w:sz="12" w:space="0" w:color="000000"/>
              <w:bottom w:val="nil"/>
              <w:right w:val="nil"/>
            </w:tcBorders>
          </w:tcPr>
          <w:p w:rsidR="005B67A1" w:rsidRDefault="005B67A1">
            <w:pPr>
              <w:rPr>
                <w:rFonts w:ascii="Arial" w:hAnsi="Arial" w:cs="Arial"/>
                <w:color w:val="000000"/>
                <w:sz w:val="20"/>
                <w:szCs w:val="20"/>
              </w:rPr>
            </w:pPr>
            <w:r>
              <w:rPr>
                <w:rFonts w:ascii="Arial" w:hAnsi="Arial" w:cs="Arial"/>
                <w:color w:val="000000"/>
                <w:sz w:val="20"/>
                <w:szCs w:val="20"/>
              </w:rPr>
              <w:t>Treynor Ratio</w:t>
            </w:r>
          </w:p>
        </w:tc>
        <w:tc>
          <w:tcPr>
            <w:tcW w:w="774" w:type="dxa"/>
            <w:tcBorders>
              <w:top w:val="nil"/>
              <w:left w:val="single" w:sz="12" w:space="0" w:color="000000"/>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10.95</w:t>
            </w:r>
          </w:p>
        </w:tc>
        <w:tc>
          <w:tcPr>
            <w:tcW w:w="867"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11.38</w:t>
            </w:r>
          </w:p>
        </w:tc>
        <w:tc>
          <w:tcPr>
            <w:tcW w:w="789" w:type="dxa"/>
            <w:tcBorders>
              <w:top w:val="nil"/>
              <w:left w:val="single" w:sz="12" w:space="0" w:color="000000"/>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4.02</w:t>
            </w:r>
          </w:p>
        </w:tc>
        <w:tc>
          <w:tcPr>
            <w:tcW w:w="810"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15.60</w:t>
            </w:r>
          </w:p>
        </w:tc>
        <w:tc>
          <w:tcPr>
            <w:tcW w:w="900" w:type="dxa"/>
            <w:tcBorders>
              <w:top w:val="nil"/>
              <w:left w:val="single" w:sz="12" w:space="0" w:color="000000"/>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6.89</w:t>
            </w:r>
          </w:p>
        </w:tc>
        <w:tc>
          <w:tcPr>
            <w:tcW w:w="720"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7.13</w:t>
            </w:r>
          </w:p>
        </w:tc>
        <w:tc>
          <w:tcPr>
            <w:tcW w:w="720" w:type="dxa"/>
            <w:tcBorders>
              <w:top w:val="nil"/>
              <w:left w:val="single" w:sz="12" w:space="0" w:color="000000"/>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3.05</w:t>
            </w:r>
          </w:p>
        </w:tc>
        <w:tc>
          <w:tcPr>
            <w:tcW w:w="810"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6.82</w:t>
            </w:r>
          </w:p>
        </w:tc>
      </w:tr>
      <w:tr w:rsidR="005B67A1">
        <w:trPr>
          <w:trHeight w:val="250"/>
        </w:trPr>
        <w:tc>
          <w:tcPr>
            <w:tcW w:w="2370" w:type="dxa"/>
            <w:tcBorders>
              <w:top w:val="single" w:sz="12" w:space="0" w:color="auto"/>
              <w:left w:val="single" w:sz="12" w:space="0" w:color="000000"/>
              <w:bottom w:val="nil"/>
              <w:right w:val="nil"/>
            </w:tcBorders>
            <w:shd w:val="pct5" w:color="auto" w:fill="auto"/>
          </w:tcPr>
          <w:p w:rsidR="005B67A1" w:rsidRDefault="005B67A1">
            <w:pPr>
              <w:ind w:left="180" w:hanging="180"/>
              <w:rPr>
                <w:rFonts w:ascii="Arial" w:hAnsi="Arial" w:cs="Arial"/>
                <w:color w:val="000000"/>
                <w:sz w:val="20"/>
                <w:szCs w:val="20"/>
              </w:rPr>
            </w:pPr>
            <w:r>
              <w:rPr>
                <w:rFonts w:ascii="Arial" w:hAnsi="Arial" w:cs="Arial"/>
                <w:color w:val="000000"/>
                <w:sz w:val="20"/>
                <w:szCs w:val="20"/>
              </w:rPr>
              <w:t>Semi-Standard Deviation</w:t>
            </w:r>
          </w:p>
        </w:tc>
        <w:tc>
          <w:tcPr>
            <w:tcW w:w="774" w:type="dxa"/>
            <w:tcBorders>
              <w:top w:val="single" w:sz="12" w:space="0" w:color="auto"/>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15.32</w:t>
            </w:r>
          </w:p>
        </w:tc>
        <w:tc>
          <w:tcPr>
            <w:tcW w:w="867" w:type="dxa"/>
            <w:tcBorders>
              <w:top w:val="single" w:sz="12" w:space="0" w:color="auto"/>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13.74</w:t>
            </w:r>
          </w:p>
        </w:tc>
        <w:tc>
          <w:tcPr>
            <w:tcW w:w="789" w:type="dxa"/>
            <w:tcBorders>
              <w:top w:val="single" w:sz="12" w:space="0" w:color="auto"/>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14.41</w:t>
            </w:r>
          </w:p>
        </w:tc>
        <w:tc>
          <w:tcPr>
            <w:tcW w:w="810" w:type="dxa"/>
            <w:tcBorders>
              <w:top w:val="single" w:sz="12" w:space="0" w:color="auto"/>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13.65</w:t>
            </w:r>
          </w:p>
        </w:tc>
        <w:tc>
          <w:tcPr>
            <w:tcW w:w="900" w:type="dxa"/>
            <w:tcBorders>
              <w:top w:val="single" w:sz="12" w:space="0" w:color="auto"/>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6.82</w:t>
            </w:r>
          </w:p>
        </w:tc>
        <w:tc>
          <w:tcPr>
            <w:tcW w:w="720" w:type="dxa"/>
            <w:tcBorders>
              <w:top w:val="single" w:sz="12" w:space="0" w:color="auto"/>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7.54</w:t>
            </w:r>
          </w:p>
        </w:tc>
        <w:tc>
          <w:tcPr>
            <w:tcW w:w="720" w:type="dxa"/>
            <w:tcBorders>
              <w:top w:val="single" w:sz="12" w:space="0" w:color="auto"/>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2.65</w:t>
            </w:r>
          </w:p>
        </w:tc>
        <w:tc>
          <w:tcPr>
            <w:tcW w:w="810" w:type="dxa"/>
            <w:tcBorders>
              <w:top w:val="single" w:sz="12" w:space="0" w:color="auto"/>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2.86</w:t>
            </w:r>
          </w:p>
        </w:tc>
      </w:tr>
      <w:tr w:rsidR="005B67A1">
        <w:trPr>
          <w:trHeight w:val="250"/>
        </w:trPr>
        <w:tc>
          <w:tcPr>
            <w:tcW w:w="2370" w:type="dxa"/>
            <w:tcBorders>
              <w:top w:val="nil"/>
              <w:left w:val="single" w:sz="12" w:space="0" w:color="000000"/>
              <w:bottom w:val="nil"/>
              <w:right w:val="nil"/>
            </w:tcBorders>
          </w:tcPr>
          <w:p w:rsidR="005B67A1" w:rsidRDefault="005B67A1">
            <w:pPr>
              <w:rPr>
                <w:rFonts w:ascii="Arial" w:hAnsi="Arial" w:cs="Arial"/>
                <w:color w:val="000000"/>
                <w:sz w:val="20"/>
                <w:szCs w:val="20"/>
              </w:rPr>
            </w:pPr>
            <w:r>
              <w:rPr>
                <w:rFonts w:ascii="Arial" w:hAnsi="Arial" w:cs="Arial"/>
                <w:color w:val="000000"/>
                <w:sz w:val="20"/>
                <w:szCs w:val="20"/>
              </w:rPr>
              <w:t>Semi-Beta</w:t>
            </w:r>
          </w:p>
        </w:tc>
        <w:tc>
          <w:tcPr>
            <w:tcW w:w="774" w:type="dxa"/>
            <w:tcBorders>
              <w:top w:val="nil"/>
              <w:left w:val="single" w:sz="12" w:space="0" w:color="000000"/>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1.00</w:t>
            </w:r>
          </w:p>
        </w:tc>
        <w:tc>
          <w:tcPr>
            <w:tcW w:w="867"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0.88</w:t>
            </w:r>
          </w:p>
        </w:tc>
        <w:tc>
          <w:tcPr>
            <w:tcW w:w="789" w:type="dxa"/>
            <w:tcBorders>
              <w:top w:val="nil"/>
              <w:left w:val="single" w:sz="12" w:space="0" w:color="000000"/>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1.00</w:t>
            </w:r>
          </w:p>
        </w:tc>
        <w:tc>
          <w:tcPr>
            <w:tcW w:w="810"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0.57</w:t>
            </w:r>
          </w:p>
        </w:tc>
        <w:tc>
          <w:tcPr>
            <w:tcW w:w="900" w:type="dxa"/>
            <w:tcBorders>
              <w:top w:val="nil"/>
              <w:left w:val="single" w:sz="12" w:space="0" w:color="000000"/>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1.00</w:t>
            </w:r>
          </w:p>
        </w:tc>
        <w:tc>
          <w:tcPr>
            <w:tcW w:w="720"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1.05</w:t>
            </w:r>
          </w:p>
        </w:tc>
        <w:tc>
          <w:tcPr>
            <w:tcW w:w="720" w:type="dxa"/>
            <w:tcBorders>
              <w:top w:val="nil"/>
              <w:left w:val="single" w:sz="12" w:space="0" w:color="000000"/>
              <w:bottom w:val="nil"/>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1.00</w:t>
            </w:r>
          </w:p>
        </w:tc>
        <w:tc>
          <w:tcPr>
            <w:tcW w:w="810" w:type="dxa"/>
            <w:tcBorders>
              <w:top w:val="nil"/>
              <w:left w:val="dotted" w:sz="6"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0.74</w:t>
            </w:r>
          </w:p>
        </w:tc>
      </w:tr>
      <w:tr w:rsidR="005B67A1">
        <w:trPr>
          <w:trHeight w:val="250"/>
        </w:trPr>
        <w:tc>
          <w:tcPr>
            <w:tcW w:w="2370" w:type="dxa"/>
            <w:tcBorders>
              <w:top w:val="nil"/>
              <w:left w:val="single" w:sz="12" w:space="0" w:color="000000"/>
              <w:bottom w:val="nil"/>
              <w:right w:val="nil"/>
            </w:tcBorders>
            <w:shd w:val="pct5" w:color="auto" w:fill="auto"/>
          </w:tcPr>
          <w:p w:rsidR="005B67A1" w:rsidRDefault="005B67A1">
            <w:pPr>
              <w:rPr>
                <w:rFonts w:ascii="Arial" w:hAnsi="Arial" w:cs="Arial"/>
                <w:color w:val="000000"/>
                <w:sz w:val="20"/>
                <w:szCs w:val="20"/>
              </w:rPr>
            </w:pPr>
            <w:r>
              <w:rPr>
                <w:rFonts w:ascii="Arial" w:hAnsi="Arial" w:cs="Arial"/>
                <w:color w:val="000000"/>
                <w:sz w:val="20"/>
                <w:szCs w:val="20"/>
              </w:rPr>
              <w:t>Semi-Sharpe Ratio</w:t>
            </w:r>
          </w:p>
        </w:tc>
        <w:tc>
          <w:tcPr>
            <w:tcW w:w="774" w:type="dxa"/>
            <w:tcBorders>
              <w:top w:val="nil"/>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0.72</w:t>
            </w:r>
          </w:p>
        </w:tc>
        <w:tc>
          <w:tcPr>
            <w:tcW w:w="867" w:type="dxa"/>
            <w:tcBorders>
              <w:top w:val="nil"/>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0.77</w:t>
            </w:r>
          </w:p>
        </w:tc>
        <w:tc>
          <w:tcPr>
            <w:tcW w:w="789" w:type="dxa"/>
            <w:tcBorders>
              <w:top w:val="nil"/>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0.28</w:t>
            </w:r>
          </w:p>
        </w:tc>
        <w:tc>
          <w:tcPr>
            <w:tcW w:w="810" w:type="dxa"/>
            <w:tcBorders>
              <w:top w:val="nil"/>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0.55</w:t>
            </w:r>
          </w:p>
        </w:tc>
        <w:tc>
          <w:tcPr>
            <w:tcW w:w="900" w:type="dxa"/>
            <w:tcBorders>
              <w:top w:val="nil"/>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1.01</w:t>
            </w:r>
          </w:p>
        </w:tc>
        <w:tc>
          <w:tcPr>
            <w:tcW w:w="720" w:type="dxa"/>
            <w:tcBorders>
              <w:top w:val="nil"/>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0.97</w:t>
            </w:r>
          </w:p>
        </w:tc>
        <w:tc>
          <w:tcPr>
            <w:tcW w:w="720" w:type="dxa"/>
            <w:tcBorders>
              <w:top w:val="nil"/>
              <w:left w:val="single" w:sz="12" w:space="0" w:color="000000"/>
              <w:bottom w:val="nil"/>
              <w:right w:val="nil"/>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1.15</w:t>
            </w:r>
          </w:p>
        </w:tc>
        <w:tc>
          <w:tcPr>
            <w:tcW w:w="810" w:type="dxa"/>
            <w:tcBorders>
              <w:top w:val="nil"/>
              <w:left w:val="dotted" w:sz="6" w:space="0" w:color="000000"/>
              <w:bottom w:val="nil"/>
              <w:right w:val="single" w:sz="12" w:space="0" w:color="000000"/>
            </w:tcBorders>
            <w:shd w:val="pct5" w:color="auto" w:fill="auto"/>
          </w:tcPr>
          <w:p w:rsidR="005B67A1" w:rsidRDefault="005B67A1">
            <w:pPr>
              <w:jc w:val="right"/>
              <w:rPr>
                <w:rFonts w:ascii="Arial" w:hAnsi="Arial" w:cs="Arial"/>
                <w:color w:val="000000"/>
                <w:sz w:val="20"/>
                <w:szCs w:val="20"/>
              </w:rPr>
            </w:pPr>
            <w:r>
              <w:rPr>
                <w:rFonts w:ascii="Arial" w:hAnsi="Arial" w:cs="Arial"/>
                <w:color w:val="000000"/>
                <w:sz w:val="20"/>
                <w:szCs w:val="20"/>
              </w:rPr>
              <w:t>1.02</w:t>
            </w:r>
          </w:p>
        </w:tc>
      </w:tr>
      <w:tr w:rsidR="005B67A1">
        <w:trPr>
          <w:trHeight w:val="250"/>
        </w:trPr>
        <w:tc>
          <w:tcPr>
            <w:tcW w:w="2370" w:type="dxa"/>
            <w:tcBorders>
              <w:top w:val="nil"/>
              <w:left w:val="single" w:sz="12" w:space="0" w:color="000000"/>
              <w:bottom w:val="single" w:sz="12" w:space="0" w:color="auto"/>
              <w:right w:val="nil"/>
            </w:tcBorders>
          </w:tcPr>
          <w:p w:rsidR="005B67A1" w:rsidRDefault="005B67A1">
            <w:pPr>
              <w:rPr>
                <w:rFonts w:ascii="Arial" w:hAnsi="Arial" w:cs="Arial"/>
                <w:color w:val="000000"/>
                <w:sz w:val="20"/>
                <w:szCs w:val="20"/>
              </w:rPr>
            </w:pPr>
            <w:r>
              <w:rPr>
                <w:rFonts w:ascii="Arial" w:hAnsi="Arial" w:cs="Arial"/>
                <w:color w:val="000000"/>
                <w:sz w:val="20"/>
                <w:szCs w:val="20"/>
              </w:rPr>
              <w:t>Semi-Treynor Ratio</w:t>
            </w:r>
          </w:p>
        </w:tc>
        <w:tc>
          <w:tcPr>
            <w:tcW w:w="774" w:type="dxa"/>
            <w:tcBorders>
              <w:top w:val="nil"/>
              <w:left w:val="single" w:sz="12" w:space="0" w:color="000000"/>
              <w:bottom w:val="single" w:sz="12" w:space="0" w:color="auto"/>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10.95</w:t>
            </w:r>
          </w:p>
        </w:tc>
        <w:tc>
          <w:tcPr>
            <w:tcW w:w="867" w:type="dxa"/>
            <w:tcBorders>
              <w:top w:val="nil"/>
              <w:left w:val="dotted" w:sz="6" w:space="0" w:color="000000"/>
              <w:bottom w:val="single" w:sz="12" w:space="0" w:color="auto"/>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11.90</w:t>
            </w:r>
          </w:p>
        </w:tc>
        <w:tc>
          <w:tcPr>
            <w:tcW w:w="789" w:type="dxa"/>
            <w:tcBorders>
              <w:top w:val="nil"/>
              <w:left w:val="single" w:sz="12" w:space="0" w:color="000000"/>
              <w:bottom w:val="single" w:sz="12" w:space="0" w:color="auto"/>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4.02</w:t>
            </w:r>
          </w:p>
        </w:tc>
        <w:tc>
          <w:tcPr>
            <w:tcW w:w="810" w:type="dxa"/>
            <w:tcBorders>
              <w:top w:val="nil"/>
              <w:left w:val="dotted" w:sz="6" w:space="0" w:color="000000"/>
              <w:bottom w:val="single" w:sz="12" w:space="0" w:color="auto"/>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13.15</w:t>
            </w:r>
          </w:p>
        </w:tc>
        <w:tc>
          <w:tcPr>
            <w:tcW w:w="900" w:type="dxa"/>
            <w:tcBorders>
              <w:top w:val="nil"/>
              <w:left w:val="single" w:sz="12" w:space="0" w:color="000000"/>
              <w:bottom w:val="single" w:sz="12" w:space="0" w:color="auto"/>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6.89</w:t>
            </w:r>
          </w:p>
        </w:tc>
        <w:tc>
          <w:tcPr>
            <w:tcW w:w="720" w:type="dxa"/>
            <w:tcBorders>
              <w:top w:val="nil"/>
              <w:left w:val="dotted" w:sz="6" w:space="0" w:color="000000"/>
              <w:bottom w:val="single" w:sz="12" w:space="0" w:color="auto"/>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7.01</w:t>
            </w:r>
          </w:p>
        </w:tc>
        <w:tc>
          <w:tcPr>
            <w:tcW w:w="720" w:type="dxa"/>
            <w:tcBorders>
              <w:top w:val="nil"/>
              <w:left w:val="single" w:sz="12" w:space="0" w:color="000000"/>
              <w:bottom w:val="single" w:sz="12" w:space="0" w:color="auto"/>
              <w:right w:val="nil"/>
            </w:tcBorders>
          </w:tcPr>
          <w:p w:rsidR="005B67A1" w:rsidRDefault="005B67A1">
            <w:pPr>
              <w:jc w:val="right"/>
              <w:rPr>
                <w:rFonts w:ascii="Arial" w:hAnsi="Arial" w:cs="Arial"/>
                <w:color w:val="000000"/>
                <w:sz w:val="20"/>
                <w:szCs w:val="20"/>
              </w:rPr>
            </w:pPr>
            <w:r>
              <w:rPr>
                <w:rFonts w:ascii="Arial" w:hAnsi="Arial" w:cs="Arial"/>
                <w:color w:val="000000"/>
                <w:sz w:val="20"/>
                <w:szCs w:val="20"/>
              </w:rPr>
              <w:t>3.05</w:t>
            </w:r>
          </w:p>
        </w:tc>
        <w:tc>
          <w:tcPr>
            <w:tcW w:w="810" w:type="dxa"/>
            <w:tcBorders>
              <w:top w:val="nil"/>
              <w:left w:val="dotted" w:sz="6" w:space="0" w:color="000000"/>
              <w:bottom w:val="single" w:sz="12" w:space="0" w:color="auto"/>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3.99</w:t>
            </w:r>
          </w:p>
        </w:tc>
      </w:tr>
    </w:tbl>
    <w:p w:rsidR="005B67A1" w:rsidRDefault="005B67A1">
      <w:pPr>
        <w:spacing w:line="360" w:lineRule="auto"/>
        <w:rPr>
          <w:rFonts w:ascii="Arial" w:hAnsi="Arial" w:cs="Arial"/>
          <w:sz w:val="20"/>
          <w:szCs w:val="20"/>
        </w:rPr>
      </w:pPr>
    </w:p>
    <w:p w:rsidR="005B67A1" w:rsidRDefault="005B67A1">
      <w:pPr>
        <w:spacing w:line="360" w:lineRule="auto"/>
        <w:rPr>
          <w:rFonts w:ascii="Arial" w:hAnsi="Arial" w:cs="Arial"/>
          <w:sz w:val="20"/>
          <w:szCs w:val="20"/>
        </w:rPr>
      </w:pPr>
      <w:r>
        <w:rPr>
          <w:rFonts w:ascii="Arial" w:hAnsi="Arial" w:cs="Arial"/>
          <w:sz w:val="20"/>
          <w:szCs w:val="20"/>
        </w:rPr>
        <w:tab/>
        <w:t xml:space="preserve">The most interesting results are for the U.S. equity money managers who, by traditional volatility-adjusted portfolio performance measures, do not beat the market (S&amp;P 500), but by the risk-adjusted portfolio performance measures, do beat the market.  A careful look at the components of this result makes this conclusion even more surprising.  The average annualized equity money manager's excess return over 90-Day U.S. Treasury Bills was 10.51%, while the market's was 10.95%.  If a hypothetical equity investor looked purely at the returns, he would be well advised to invest in an index fund since the S&amp;P 500 had higher excess returns.  If the hypothetical investor is a little more sophisticated he will also compare the standard deviations for his two choices.  Again, the market, with a </w:t>
      </w:r>
      <w:r>
        <w:rPr>
          <w:rFonts w:ascii="Arial" w:hAnsi="Arial" w:cs="Arial"/>
          <w:sz w:val="20"/>
          <w:szCs w:val="20"/>
        </w:rPr>
        <w:sym w:font="Symbol" w:char="F073"/>
      </w:r>
      <w:r>
        <w:rPr>
          <w:rFonts w:ascii="Arial" w:hAnsi="Arial" w:cs="Arial"/>
          <w:sz w:val="20"/>
          <w:szCs w:val="20"/>
        </w:rPr>
        <w:t xml:space="preserve"> of 14.24, would be a better choice than the average equity money manager, whose </w:t>
      </w:r>
      <w:r>
        <w:rPr>
          <w:rFonts w:ascii="Arial" w:hAnsi="Arial" w:cs="Arial"/>
          <w:sz w:val="20"/>
          <w:szCs w:val="20"/>
        </w:rPr>
        <w:sym w:font="Symbol" w:char="F073"/>
      </w:r>
      <w:r>
        <w:rPr>
          <w:rFonts w:ascii="Arial" w:hAnsi="Arial" w:cs="Arial"/>
          <w:sz w:val="20"/>
          <w:szCs w:val="20"/>
        </w:rPr>
        <w:t xml:space="preserve"> is 16.18.  This sophisticated investor has no trouble in choosing the passively managed index fund by both traditional return and risk criteria.  Yet, if the investor knows that standard deviation measures volatility and not risk, he looks at a measure such as the semi-Sharpe ratio to make a more informed decision.  In this case, he chooses the </w:t>
      </w:r>
      <w:r>
        <w:rPr>
          <w:rFonts w:ascii="Arial" w:hAnsi="Arial" w:cs="Arial"/>
          <w:b/>
          <w:bCs/>
          <w:sz w:val="20"/>
          <w:szCs w:val="20"/>
        </w:rPr>
        <w:t>average</w:t>
      </w:r>
      <w:r>
        <w:rPr>
          <w:rFonts w:ascii="Arial" w:hAnsi="Arial" w:cs="Arial"/>
          <w:sz w:val="20"/>
          <w:szCs w:val="20"/>
        </w:rPr>
        <w:t xml:space="preserve"> money manager over the passively managed index fund.  Obviously this has implications for those who believe that investors are better off in an index fund, because the </w:t>
      </w:r>
      <w:r>
        <w:rPr>
          <w:rFonts w:ascii="Arial" w:hAnsi="Arial" w:cs="Arial"/>
          <w:b/>
          <w:bCs/>
          <w:sz w:val="20"/>
          <w:szCs w:val="20"/>
        </w:rPr>
        <w:t>average</w:t>
      </w:r>
      <w:r>
        <w:rPr>
          <w:rFonts w:ascii="Arial" w:hAnsi="Arial" w:cs="Arial"/>
          <w:sz w:val="20"/>
          <w:szCs w:val="20"/>
        </w:rPr>
        <w:t xml:space="preserve"> money manager's risk-adjusted performance exceeds the market.</w:t>
      </w:r>
    </w:p>
    <w:p w:rsidR="005B67A1" w:rsidRDefault="005B67A1">
      <w:pPr>
        <w:spacing w:line="360" w:lineRule="auto"/>
        <w:rPr>
          <w:rFonts w:ascii="Arial" w:hAnsi="Arial" w:cs="Arial"/>
          <w:sz w:val="20"/>
          <w:szCs w:val="20"/>
        </w:rPr>
      </w:pPr>
      <w:r>
        <w:rPr>
          <w:rFonts w:ascii="Arial" w:hAnsi="Arial" w:cs="Arial"/>
          <w:sz w:val="20"/>
          <w:szCs w:val="20"/>
        </w:rPr>
        <w:tab/>
        <w:t xml:space="preserve">Lest the reader think that risk-adjusted portfolio performance measures are a "magic bullet" which could be used to artificially improve the performance numbers of money managers, let us turn our attention to the other results.  The risk-adjusted measures do not change the conclusions which would be drawn by traditional volatility adjusted measures for non-U.S. equity and U.S. balanced money managers.  However, in the case of the average non-U.S. equity money manager, the risk-adjusted measures actually </w:t>
      </w:r>
      <w:r>
        <w:rPr>
          <w:rFonts w:ascii="Arial" w:hAnsi="Arial" w:cs="Arial"/>
          <w:i/>
          <w:iCs/>
          <w:sz w:val="20"/>
          <w:szCs w:val="20"/>
        </w:rPr>
        <w:t>reduce</w:t>
      </w:r>
      <w:r>
        <w:rPr>
          <w:rFonts w:ascii="Arial" w:hAnsi="Arial" w:cs="Arial"/>
          <w:sz w:val="20"/>
          <w:szCs w:val="20"/>
        </w:rPr>
        <w:t xml:space="preserve"> (not improve) the magnitude by which the market is beaten.  A similar story is told for both the U.S. balanced and U.S. fixed income money managers.</w:t>
      </w:r>
    </w:p>
    <w:p w:rsidR="005B67A1" w:rsidRDefault="005B67A1">
      <w:pPr>
        <w:spacing w:line="360" w:lineRule="auto"/>
        <w:rPr>
          <w:rFonts w:ascii="Arial" w:hAnsi="Arial" w:cs="Arial"/>
          <w:sz w:val="20"/>
          <w:szCs w:val="20"/>
        </w:rPr>
      </w:pPr>
      <w:r>
        <w:rPr>
          <w:rFonts w:ascii="Arial" w:hAnsi="Arial" w:cs="Arial"/>
          <w:sz w:val="20"/>
          <w:szCs w:val="20"/>
        </w:rPr>
        <w:tab/>
        <w:t xml:space="preserve">The numbers in exhibit 4 demonstrate the point even more strongly.  Using traditional volatility-adjusted portfolio performance measures, such as the Sharpe and Treynor ratios, less than half of the </w:t>
      </w:r>
      <w:r>
        <w:rPr>
          <w:rFonts w:ascii="Arial" w:hAnsi="Arial" w:cs="Arial"/>
          <w:sz w:val="20"/>
          <w:szCs w:val="20"/>
        </w:rPr>
        <w:lastRenderedPageBreak/>
        <w:t>U.S. equity money managers beat the market.  Evaluation by risk-adjusted portfolio performance measures tells a different story.  Around 60% of U.S. equity money managers beat the market according to the semi-Sharpe and semi-Treynor ratios.  These results tell a previously untold empirical story, namely that the average money manager appears to focus on limiting losses and succeeds in doing so.  Similar results were found for five other time periods (see Appendix B).</w:t>
      </w:r>
    </w:p>
    <w:p w:rsidR="005B67A1" w:rsidRDefault="005B67A1">
      <w:pPr>
        <w:jc w:val="center"/>
        <w:rPr>
          <w:rFonts w:ascii="Arial" w:hAnsi="Arial" w:cs="Arial"/>
          <w:color w:val="000000"/>
          <w:sz w:val="20"/>
          <w:szCs w:val="20"/>
        </w:rPr>
      </w:pPr>
      <w:r>
        <w:rPr>
          <w:rFonts w:ascii="Arial" w:hAnsi="Arial" w:cs="Arial"/>
          <w:b/>
          <w:bCs/>
          <w:color w:val="000000"/>
          <w:sz w:val="20"/>
          <w:szCs w:val="20"/>
        </w:rPr>
        <w:t>Exhibit 4: Money Managers vs. Their Benchmark Index by Various Measures: First Quarter 1987 through Second Quarter 1997</w:t>
      </w:r>
    </w:p>
    <w:p w:rsidR="005B67A1" w:rsidRDefault="005B67A1"/>
    <w:tbl>
      <w:tblPr>
        <w:tblW w:w="0" w:type="auto"/>
        <w:tblLayout w:type="fixed"/>
        <w:tblCellMar>
          <w:left w:w="30" w:type="dxa"/>
          <w:right w:w="30" w:type="dxa"/>
        </w:tblCellMar>
        <w:tblLook w:val="0000" w:firstRow="0" w:lastRow="0" w:firstColumn="0" w:lastColumn="0" w:noHBand="0" w:noVBand="0"/>
      </w:tblPr>
      <w:tblGrid>
        <w:gridCol w:w="2190"/>
        <w:gridCol w:w="2610"/>
        <w:gridCol w:w="3870"/>
      </w:tblGrid>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20"/>
                <w:szCs w:val="20"/>
              </w:rPr>
            </w:pPr>
            <w:r>
              <w:rPr>
                <w:rFonts w:ascii="Arial" w:hAnsi="Arial" w:cs="Arial"/>
                <w:b/>
                <w:bCs/>
                <w:color w:val="000000"/>
                <w:sz w:val="20"/>
                <w:szCs w:val="20"/>
              </w:rPr>
              <w:t>U.S. Equity (Compared to S&amp;P 500)</w:t>
            </w:r>
          </w:p>
        </w:tc>
      </w:tr>
      <w:tr w:rsidR="005B67A1">
        <w:trPr>
          <w:trHeight w:val="264"/>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20"/>
                <w:szCs w:val="20"/>
              </w:rPr>
            </w:pPr>
            <w:r>
              <w:rPr>
                <w:rFonts w:ascii="Arial" w:hAnsi="Arial" w:cs="Arial"/>
                <w:color w:val="000000"/>
                <w:sz w:val="20"/>
                <w:szCs w:val="20"/>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20"/>
                <w:szCs w:val="20"/>
              </w:rPr>
            </w:pPr>
            <w:r>
              <w:rPr>
                <w:rFonts w:ascii="Arial" w:hAnsi="Arial" w:cs="Arial"/>
                <w:color w:val="000000"/>
                <w:sz w:val="20"/>
                <w:szCs w:val="20"/>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20"/>
                <w:szCs w:val="20"/>
              </w:rPr>
            </w:pPr>
            <w:r>
              <w:rPr>
                <w:rFonts w:ascii="Arial" w:hAnsi="Arial" w:cs="Arial"/>
                <w:color w:val="000000"/>
                <w:sz w:val="20"/>
                <w:szCs w:val="20"/>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20"/>
                <w:szCs w:val="20"/>
              </w:rPr>
            </w:pPr>
            <w:r>
              <w:rPr>
                <w:rFonts w:ascii="Arial" w:hAnsi="Arial" w:cs="Arial"/>
                <w:color w:val="000000"/>
                <w:sz w:val="20"/>
                <w:szCs w:val="20"/>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20"/>
                <w:szCs w:val="20"/>
              </w:rPr>
            </w:pPr>
            <w:r>
              <w:rPr>
                <w:rFonts w:ascii="Arial" w:hAnsi="Arial" w:cs="Arial"/>
                <w:color w:val="000000"/>
                <w:sz w:val="20"/>
                <w:szCs w:val="20"/>
              </w:rPr>
              <w:t>0.77</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20"/>
                <w:szCs w:val="20"/>
              </w:rPr>
            </w:pPr>
            <w:r>
              <w:rPr>
                <w:rFonts w:ascii="Arial" w:hAnsi="Arial" w:cs="Arial"/>
                <w:color w:val="000000"/>
                <w:sz w:val="20"/>
                <w:szCs w:val="20"/>
              </w:rPr>
              <w:t>27.53%</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20"/>
                <w:szCs w:val="20"/>
              </w:rPr>
            </w:pPr>
            <w:r>
              <w:rPr>
                <w:rFonts w:ascii="Arial" w:hAnsi="Arial" w:cs="Arial"/>
                <w:color w:val="000000"/>
                <w:sz w:val="20"/>
                <w:szCs w:val="20"/>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10.95</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44.83%</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20"/>
                <w:szCs w:val="20"/>
              </w:rPr>
            </w:pPr>
            <w:r>
              <w:rPr>
                <w:rFonts w:ascii="Arial" w:hAnsi="Arial" w:cs="Arial"/>
                <w:color w:val="000000"/>
                <w:sz w:val="20"/>
                <w:szCs w:val="20"/>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20"/>
                <w:szCs w:val="20"/>
              </w:rPr>
            </w:pPr>
            <w:r>
              <w:rPr>
                <w:rFonts w:ascii="Arial" w:hAnsi="Arial" w:cs="Arial"/>
                <w:color w:val="000000"/>
                <w:sz w:val="20"/>
                <w:szCs w:val="20"/>
              </w:rPr>
              <w:t>0.72</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20"/>
                <w:szCs w:val="20"/>
              </w:rPr>
            </w:pPr>
            <w:r>
              <w:rPr>
                <w:rFonts w:ascii="Arial" w:hAnsi="Arial" w:cs="Arial"/>
                <w:color w:val="000000"/>
                <w:sz w:val="20"/>
                <w:szCs w:val="20"/>
              </w:rPr>
              <w:t>61.24%</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20"/>
                <w:szCs w:val="20"/>
              </w:rPr>
            </w:pPr>
            <w:r>
              <w:rPr>
                <w:rFonts w:ascii="Arial" w:hAnsi="Arial" w:cs="Arial"/>
                <w:color w:val="000000"/>
                <w:sz w:val="20"/>
                <w:szCs w:val="20"/>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10.95</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58.88%</w:t>
            </w:r>
          </w:p>
        </w:tc>
      </w:tr>
    </w:tbl>
    <w:p w:rsidR="005B67A1" w:rsidRDefault="005B67A1"/>
    <w:tbl>
      <w:tblPr>
        <w:tblW w:w="0" w:type="auto"/>
        <w:tblLayout w:type="fixed"/>
        <w:tblCellMar>
          <w:left w:w="30" w:type="dxa"/>
          <w:right w:w="30" w:type="dxa"/>
        </w:tblCellMar>
        <w:tblLook w:val="0000" w:firstRow="0" w:lastRow="0" w:firstColumn="0" w:lastColumn="0" w:noHBand="0" w:noVBand="0"/>
      </w:tblPr>
      <w:tblGrid>
        <w:gridCol w:w="2190"/>
        <w:gridCol w:w="2610"/>
        <w:gridCol w:w="3870"/>
      </w:tblGrid>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20"/>
                <w:szCs w:val="20"/>
              </w:rPr>
            </w:pPr>
            <w:r>
              <w:rPr>
                <w:rFonts w:ascii="Arial" w:hAnsi="Arial" w:cs="Arial"/>
                <w:b/>
                <w:bCs/>
                <w:color w:val="000000"/>
                <w:sz w:val="20"/>
                <w:szCs w:val="20"/>
              </w:rPr>
              <w:t>Non-U.S. Equity (Compared to MSCI EAFE)</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20"/>
                <w:szCs w:val="20"/>
              </w:rPr>
            </w:pPr>
            <w:r>
              <w:rPr>
                <w:rFonts w:ascii="Arial" w:hAnsi="Arial" w:cs="Arial"/>
                <w:color w:val="000000"/>
                <w:sz w:val="20"/>
                <w:szCs w:val="20"/>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20"/>
                <w:szCs w:val="20"/>
              </w:rPr>
            </w:pPr>
            <w:r>
              <w:rPr>
                <w:rFonts w:ascii="Arial" w:hAnsi="Arial" w:cs="Arial"/>
                <w:color w:val="000000"/>
                <w:sz w:val="20"/>
                <w:szCs w:val="20"/>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20"/>
                <w:szCs w:val="20"/>
              </w:rPr>
            </w:pPr>
            <w:r>
              <w:rPr>
                <w:rFonts w:ascii="Arial" w:hAnsi="Arial" w:cs="Arial"/>
                <w:color w:val="000000"/>
                <w:sz w:val="20"/>
                <w:szCs w:val="20"/>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20"/>
                <w:szCs w:val="20"/>
              </w:rPr>
            </w:pPr>
            <w:r>
              <w:rPr>
                <w:rFonts w:ascii="Arial" w:hAnsi="Arial" w:cs="Arial"/>
                <w:color w:val="000000"/>
                <w:sz w:val="20"/>
                <w:szCs w:val="20"/>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20"/>
                <w:szCs w:val="20"/>
              </w:rPr>
            </w:pPr>
            <w:r>
              <w:rPr>
                <w:rFonts w:ascii="Arial" w:hAnsi="Arial" w:cs="Arial"/>
                <w:color w:val="000000"/>
                <w:sz w:val="20"/>
                <w:szCs w:val="20"/>
              </w:rPr>
              <w:t xml:space="preserve">0.23 </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20"/>
                <w:szCs w:val="20"/>
              </w:rPr>
            </w:pPr>
            <w:r>
              <w:rPr>
                <w:rFonts w:ascii="Arial" w:hAnsi="Arial" w:cs="Arial"/>
                <w:color w:val="000000"/>
                <w:sz w:val="20"/>
                <w:szCs w:val="20"/>
              </w:rPr>
              <w:t>86.96%</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20"/>
                <w:szCs w:val="20"/>
              </w:rPr>
            </w:pPr>
            <w:r>
              <w:rPr>
                <w:rFonts w:ascii="Arial" w:hAnsi="Arial" w:cs="Arial"/>
                <w:color w:val="000000"/>
                <w:sz w:val="20"/>
                <w:szCs w:val="20"/>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 xml:space="preserve">4.02 </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92.27%</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20"/>
                <w:szCs w:val="20"/>
              </w:rPr>
            </w:pPr>
            <w:r>
              <w:rPr>
                <w:rFonts w:ascii="Arial" w:hAnsi="Arial" w:cs="Arial"/>
                <w:color w:val="000000"/>
                <w:sz w:val="20"/>
                <w:szCs w:val="20"/>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20"/>
                <w:szCs w:val="20"/>
              </w:rPr>
            </w:pPr>
            <w:r>
              <w:rPr>
                <w:rFonts w:ascii="Arial" w:hAnsi="Arial" w:cs="Arial"/>
                <w:color w:val="000000"/>
                <w:sz w:val="20"/>
                <w:szCs w:val="20"/>
              </w:rPr>
              <w:t xml:space="preserve">0.28 </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20"/>
                <w:szCs w:val="20"/>
              </w:rPr>
            </w:pPr>
            <w:r>
              <w:rPr>
                <w:rFonts w:ascii="Arial" w:hAnsi="Arial" w:cs="Arial"/>
                <w:color w:val="000000"/>
                <w:sz w:val="20"/>
                <w:szCs w:val="20"/>
              </w:rPr>
              <w:t>90.82%</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20"/>
                <w:szCs w:val="20"/>
              </w:rPr>
            </w:pPr>
            <w:r>
              <w:rPr>
                <w:rFonts w:ascii="Arial" w:hAnsi="Arial" w:cs="Arial"/>
                <w:color w:val="000000"/>
                <w:sz w:val="20"/>
                <w:szCs w:val="20"/>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 xml:space="preserve">4.02 </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91.79%</w:t>
            </w:r>
          </w:p>
        </w:tc>
      </w:tr>
    </w:tbl>
    <w:p w:rsidR="005B67A1" w:rsidRDefault="005B67A1"/>
    <w:tbl>
      <w:tblPr>
        <w:tblW w:w="0" w:type="auto"/>
        <w:tblLayout w:type="fixed"/>
        <w:tblCellMar>
          <w:left w:w="30" w:type="dxa"/>
          <w:right w:w="30" w:type="dxa"/>
        </w:tblCellMar>
        <w:tblLook w:val="0000" w:firstRow="0" w:lastRow="0" w:firstColumn="0" w:lastColumn="0" w:noHBand="0" w:noVBand="0"/>
      </w:tblPr>
      <w:tblGrid>
        <w:gridCol w:w="2190"/>
        <w:gridCol w:w="2610"/>
        <w:gridCol w:w="3870"/>
      </w:tblGrid>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20"/>
                <w:szCs w:val="20"/>
              </w:rPr>
            </w:pPr>
            <w:r>
              <w:rPr>
                <w:rFonts w:ascii="Arial" w:hAnsi="Arial" w:cs="Arial"/>
                <w:b/>
                <w:bCs/>
                <w:color w:val="000000"/>
                <w:sz w:val="20"/>
                <w:szCs w:val="20"/>
              </w:rPr>
              <w:t>U.S. Balanced (Compared to 50/40/10)</w:t>
            </w:r>
          </w:p>
        </w:tc>
      </w:tr>
      <w:tr w:rsidR="005B67A1">
        <w:trPr>
          <w:trHeight w:val="264"/>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20"/>
                <w:szCs w:val="20"/>
              </w:rPr>
            </w:pPr>
            <w:r>
              <w:rPr>
                <w:rFonts w:ascii="Arial" w:hAnsi="Arial" w:cs="Arial"/>
                <w:color w:val="000000"/>
                <w:sz w:val="20"/>
                <w:szCs w:val="20"/>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20"/>
                <w:szCs w:val="20"/>
              </w:rPr>
            </w:pPr>
            <w:r>
              <w:rPr>
                <w:rFonts w:ascii="Arial" w:hAnsi="Arial" w:cs="Arial"/>
                <w:color w:val="000000"/>
                <w:sz w:val="20"/>
                <w:szCs w:val="20"/>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20"/>
                <w:szCs w:val="20"/>
              </w:rPr>
            </w:pPr>
            <w:r>
              <w:rPr>
                <w:rFonts w:ascii="Arial" w:hAnsi="Arial" w:cs="Arial"/>
                <w:color w:val="000000"/>
                <w:sz w:val="20"/>
                <w:szCs w:val="20"/>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20"/>
                <w:szCs w:val="20"/>
              </w:rPr>
            </w:pPr>
            <w:r>
              <w:rPr>
                <w:rFonts w:ascii="Arial" w:hAnsi="Arial" w:cs="Arial"/>
                <w:color w:val="000000"/>
                <w:sz w:val="20"/>
                <w:szCs w:val="20"/>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20"/>
                <w:szCs w:val="20"/>
              </w:rPr>
            </w:pPr>
            <w:r>
              <w:rPr>
                <w:rFonts w:ascii="Arial" w:hAnsi="Arial" w:cs="Arial"/>
                <w:color w:val="000000"/>
                <w:sz w:val="20"/>
                <w:szCs w:val="20"/>
              </w:rPr>
              <w:t xml:space="preserve">0.89 </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20"/>
                <w:szCs w:val="20"/>
              </w:rPr>
            </w:pPr>
            <w:r>
              <w:rPr>
                <w:rFonts w:ascii="Arial" w:hAnsi="Arial" w:cs="Arial"/>
                <w:color w:val="000000"/>
                <w:sz w:val="20"/>
                <w:szCs w:val="20"/>
              </w:rPr>
              <w:t>31.79%</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20"/>
                <w:szCs w:val="20"/>
              </w:rPr>
            </w:pPr>
            <w:r>
              <w:rPr>
                <w:rFonts w:ascii="Arial" w:hAnsi="Arial" w:cs="Arial"/>
                <w:color w:val="000000"/>
                <w:sz w:val="20"/>
                <w:szCs w:val="20"/>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 xml:space="preserve">6.89 </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45.66%</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20"/>
                <w:szCs w:val="20"/>
              </w:rPr>
            </w:pPr>
            <w:r>
              <w:rPr>
                <w:rFonts w:ascii="Arial" w:hAnsi="Arial" w:cs="Arial"/>
                <w:color w:val="000000"/>
                <w:sz w:val="20"/>
                <w:szCs w:val="20"/>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20"/>
                <w:szCs w:val="20"/>
              </w:rPr>
            </w:pPr>
            <w:r>
              <w:rPr>
                <w:rFonts w:ascii="Arial" w:hAnsi="Arial" w:cs="Arial"/>
                <w:color w:val="000000"/>
                <w:sz w:val="20"/>
                <w:szCs w:val="20"/>
              </w:rPr>
              <w:t xml:space="preserve">1.01 </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20"/>
                <w:szCs w:val="20"/>
              </w:rPr>
            </w:pPr>
            <w:r>
              <w:rPr>
                <w:rFonts w:ascii="Arial" w:hAnsi="Arial" w:cs="Arial"/>
                <w:color w:val="000000"/>
                <w:sz w:val="20"/>
                <w:szCs w:val="20"/>
              </w:rPr>
              <w:t>46.53%</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20"/>
                <w:szCs w:val="20"/>
              </w:rPr>
            </w:pPr>
            <w:r>
              <w:rPr>
                <w:rFonts w:ascii="Arial" w:hAnsi="Arial" w:cs="Arial"/>
                <w:color w:val="000000"/>
                <w:sz w:val="20"/>
                <w:szCs w:val="20"/>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 xml:space="preserve">6.89 </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51.45%</w:t>
            </w:r>
          </w:p>
        </w:tc>
      </w:tr>
    </w:tbl>
    <w:p w:rsidR="005B67A1" w:rsidRDefault="005B67A1"/>
    <w:tbl>
      <w:tblPr>
        <w:tblW w:w="0" w:type="auto"/>
        <w:tblLayout w:type="fixed"/>
        <w:tblCellMar>
          <w:left w:w="30" w:type="dxa"/>
          <w:right w:w="30" w:type="dxa"/>
        </w:tblCellMar>
        <w:tblLook w:val="0000" w:firstRow="0" w:lastRow="0" w:firstColumn="0" w:lastColumn="0" w:noHBand="0" w:noVBand="0"/>
      </w:tblPr>
      <w:tblGrid>
        <w:gridCol w:w="2190"/>
        <w:gridCol w:w="2606"/>
        <w:gridCol w:w="3874"/>
      </w:tblGrid>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20"/>
                <w:szCs w:val="20"/>
              </w:rPr>
            </w:pPr>
            <w:r>
              <w:rPr>
                <w:rFonts w:ascii="Arial" w:hAnsi="Arial" w:cs="Arial"/>
                <w:b/>
                <w:bCs/>
                <w:color w:val="000000"/>
                <w:sz w:val="20"/>
                <w:szCs w:val="20"/>
              </w:rPr>
              <w:t>U.S. Fixed Income (Compared to Lehman Brothers Aggregate Bond Index)</w:t>
            </w:r>
          </w:p>
        </w:tc>
      </w:tr>
      <w:tr w:rsidR="005B67A1">
        <w:tblPrEx>
          <w:tblCellMar>
            <w:left w:w="29" w:type="dxa"/>
            <w:right w:w="29" w:type="dxa"/>
          </w:tblCellMar>
        </w:tblPrEx>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20"/>
                <w:szCs w:val="20"/>
              </w:rPr>
            </w:pPr>
            <w:r>
              <w:rPr>
                <w:rFonts w:ascii="Arial" w:hAnsi="Arial" w:cs="Arial"/>
                <w:color w:val="000000"/>
                <w:sz w:val="20"/>
                <w:szCs w:val="20"/>
              </w:rPr>
              <w:t>Measure</w:t>
            </w:r>
          </w:p>
        </w:tc>
        <w:tc>
          <w:tcPr>
            <w:tcW w:w="2606"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20"/>
                <w:szCs w:val="20"/>
              </w:rPr>
            </w:pPr>
            <w:r>
              <w:rPr>
                <w:rFonts w:ascii="Arial" w:hAnsi="Arial" w:cs="Arial"/>
                <w:color w:val="000000"/>
                <w:sz w:val="20"/>
                <w:szCs w:val="20"/>
              </w:rPr>
              <w:t>Benchmark Scores</w:t>
            </w:r>
          </w:p>
        </w:tc>
        <w:tc>
          <w:tcPr>
            <w:tcW w:w="3873"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20"/>
                <w:szCs w:val="20"/>
              </w:rPr>
            </w:pPr>
            <w:r>
              <w:rPr>
                <w:rFonts w:ascii="Arial" w:hAnsi="Arial" w:cs="Arial"/>
                <w:color w:val="000000"/>
                <w:sz w:val="20"/>
                <w:szCs w:val="20"/>
              </w:rPr>
              <w:t>% of Managers Who Beat Benchmark</w:t>
            </w:r>
          </w:p>
        </w:tc>
      </w:tr>
      <w:tr w:rsidR="005B67A1">
        <w:tblPrEx>
          <w:tblCellMar>
            <w:left w:w="29" w:type="dxa"/>
            <w:right w:w="29" w:type="dxa"/>
          </w:tblCellMar>
        </w:tblPrEx>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20"/>
                <w:szCs w:val="20"/>
              </w:rPr>
            </w:pPr>
            <w:r>
              <w:rPr>
                <w:rFonts w:ascii="Arial" w:hAnsi="Arial" w:cs="Arial"/>
                <w:color w:val="000000"/>
                <w:sz w:val="20"/>
                <w:szCs w:val="20"/>
              </w:rPr>
              <w:t>Sharpe Ratio</w:t>
            </w:r>
          </w:p>
        </w:tc>
        <w:tc>
          <w:tcPr>
            <w:tcW w:w="2606"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20"/>
                <w:szCs w:val="20"/>
              </w:rPr>
            </w:pPr>
            <w:r>
              <w:rPr>
                <w:rFonts w:ascii="Arial" w:hAnsi="Arial" w:cs="Arial"/>
                <w:color w:val="000000"/>
                <w:sz w:val="20"/>
                <w:szCs w:val="20"/>
              </w:rPr>
              <w:t xml:space="preserve">0.60 </w:t>
            </w:r>
          </w:p>
        </w:tc>
        <w:tc>
          <w:tcPr>
            <w:tcW w:w="3873"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20"/>
                <w:szCs w:val="20"/>
              </w:rPr>
            </w:pPr>
            <w:r>
              <w:rPr>
                <w:rFonts w:ascii="Arial" w:hAnsi="Arial" w:cs="Arial"/>
                <w:color w:val="000000"/>
                <w:sz w:val="20"/>
                <w:szCs w:val="20"/>
              </w:rPr>
              <w:t>57.30%</w:t>
            </w:r>
          </w:p>
        </w:tc>
      </w:tr>
      <w:tr w:rsidR="005B67A1">
        <w:tblPrEx>
          <w:tblCellMar>
            <w:left w:w="29" w:type="dxa"/>
            <w:right w:w="29" w:type="dxa"/>
          </w:tblCellMar>
        </w:tblPrEx>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20"/>
                <w:szCs w:val="20"/>
              </w:rPr>
            </w:pPr>
            <w:r>
              <w:rPr>
                <w:rFonts w:ascii="Arial" w:hAnsi="Arial" w:cs="Arial"/>
                <w:color w:val="000000"/>
                <w:sz w:val="20"/>
                <w:szCs w:val="20"/>
              </w:rPr>
              <w:t>Treynor Ratio</w:t>
            </w:r>
          </w:p>
        </w:tc>
        <w:tc>
          <w:tcPr>
            <w:tcW w:w="2606"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 xml:space="preserve">3.05 </w:t>
            </w:r>
          </w:p>
        </w:tc>
        <w:tc>
          <w:tcPr>
            <w:tcW w:w="3873"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67.19%</w:t>
            </w:r>
          </w:p>
        </w:tc>
      </w:tr>
      <w:tr w:rsidR="005B67A1">
        <w:tblPrEx>
          <w:tblCellMar>
            <w:left w:w="29" w:type="dxa"/>
            <w:right w:w="29" w:type="dxa"/>
          </w:tblCellMar>
        </w:tblPrEx>
        <w:trPr>
          <w:trHeight w:val="264"/>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20"/>
                <w:szCs w:val="20"/>
              </w:rPr>
            </w:pPr>
            <w:r>
              <w:rPr>
                <w:rFonts w:ascii="Arial" w:hAnsi="Arial" w:cs="Arial"/>
                <w:color w:val="000000"/>
                <w:sz w:val="20"/>
                <w:szCs w:val="20"/>
              </w:rPr>
              <w:t>Semi-Sharpe Ratio</w:t>
            </w:r>
          </w:p>
        </w:tc>
        <w:tc>
          <w:tcPr>
            <w:tcW w:w="2606"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20"/>
                <w:szCs w:val="20"/>
              </w:rPr>
            </w:pPr>
            <w:r>
              <w:rPr>
                <w:rFonts w:ascii="Arial" w:hAnsi="Arial" w:cs="Arial"/>
                <w:color w:val="000000"/>
                <w:sz w:val="20"/>
                <w:szCs w:val="20"/>
              </w:rPr>
              <w:t xml:space="preserve">1.15 </w:t>
            </w:r>
          </w:p>
        </w:tc>
        <w:tc>
          <w:tcPr>
            <w:tcW w:w="3873"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20"/>
                <w:szCs w:val="20"/>
              </w:rPr>
            </w:pPr>
            <w:r>
              <w:rPr>
                <w:rFonts w:ascii="Arial" w:hAnsi="Arial" w:cs="Arial"/>
                <w:color w:val="000000"/>
                <w:sz w:val="20"/>
                <w:szCs w:val="20"/>
              </w:rPr>
              <w:t>45.37%</w:t>
            </w:r>
          </w:p>
        </w:tc>
      </w:tr>
      <w:tr w:rsidR="005B67A1">
        <w:tblPrEx>
          <w:tblCellMar>
            <w:left w:w="29" w:type="dxa"/>
            <w:right w:w="29" w:type="dxa"/>
          </w:tblCellMar>
        </w:tblPrEx>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20"/>
                <w:szCs w:val="20"/>
              </w:rPr>
            </w:pPr>
            <w:r>
              <w:rPr>
                <w:rFonts w:ascii="Arial" w:hAnsi="Arial" w:cs="Arial"/>
                <w:color w:val="000000"/>
                <w:sz w:val="20"/>
                <w:szCs w:val="20"/>
              </w:rPr>
              <w:t>Semi-Treynor Ratio</w:t>
            </w:r>
          </w:p>
        </w:tc>
        <w:tc>
          <w:tcPr>
            <w:tcW w:w="2606"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 xml:space="preserve">3.05 </w:t>
            </w:r>
          </w:p>
        </w:tc>
        <w:tc>
          <w:tcPr>
            <w:tcW w:w="3873"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20"/>
                <w:szCs w:val="20"/>
              </w:rPr>
            </w:pPr>
            <w:r>
              <w:rPr>
                <w:rFonts w:ascii="Arial" w:hAnsi="Arial" w:cs="Arial"/>
                <w:color w:val="000000"/>
                <w:sz w:val="20"/>
                <w:szCs w:val="20"/>
              </w:rPr>
              <w:t>58.24%</w:t>
            </w:r>
          </w:p>
        </w:tc>
      </w:tr>
    </w:tbl>
    <w:p w:rsidR="005B67A1" w:rsidRDefault="005B67A1">
      <w:pPr>
        <w:spacing w:line="480" w:lineRule="auto"/>
        <w:rPr>
          <w:rFonts w:ascii="Arial" w:hAnsi="Arial" w:cs="Arial"/>
          <w:sz w:val="20"/>
          <w:szCs w:val="20"/>
        </w:rPr>
      </w:pPr>
    </w:p>
    <w:p w:rsidR="005B67A1" w:rsidRDefault="005B67A1">
      <w:pPr>
        <w:pStyle w:val="Risk-Heading1"/>
        <w:spacing w:line="240" w:lineRule="auto"/>
      </w:pPr>
      <w:r>
        <w:t>Part VI: Conclusions</w:t>
      </w:r>
    </w:p>
    <w:p w:rsidR="005B67A1" w:rsidRDefault="005B67A1">
      <w:pPr>
        <w:spacing w:line="360" w:lineRule="auto"/>
        <w:rPr>
          <w:rFonts w:ascii="Arial" w:hAnsi="Arial" w:cs="Arial"/>
          <w:sz w:val="20"/>
          <w:szCs w:val="20"/>
        </w:rPr>
      </w:pPr>
      <w:r>
        <w:rPr>
          <w:rFonts w:ascii="Arial" w:hAnsi="Arial" w:cs="Arial"/>
          <w:sz w:val="20"/>
          <w:szCs w:val="20"/>
        </w:rPr>
        <w:tab/>
        <w:t xml:space="preserve">In conclusion, risk is the chance of loss, and any historical asset or portfolio risk measure must therefore only consider the negative returns.  Existing measures consider both good outcomes as well as bad.  Consequently, they are measures of statistical volatility and not of risk.  The returns of certain asset classes are non normal at the 95% significance level, yet at the 99% level they are normal.  Thus risk measures which focus on bad outcomes may be appropriate for evaluating portfolio manager performance.  Semi-standard deviation and semi-Beta are risk measures which consider only negative </w:t>
      </w:r>
      <w:r>
        <w:rPr>
          <w:rFonts w:ascii="Arial" w:hAnsi="Arial" w:cs="Arial"/>
          <w:sz w:val="20"/>
          <w:szCs w:val="20"/>
        </w:rPr>
        <w:lastRenderedPageBreak/>
        <w:t>outcomes and therefore are superior to existing measures in evaluating risk.  When coupled with an investment's excess returns to form both the modified Sharpe and Treynor ratios, the semi-standard deviation and the semi-beta give a more accurate picture of the performance of money managers.  The data suggest that money managers have long suffered under the yoke of the incorrect portfolio performance evaluation techniques.  The average equity money manager (both U.S. and non-U.S.) beats the market as evaluated by the semi-Sharpe and semi-Treynor ratios.  It remains to be seen if these results can be replicated with other data sets.  For now, in the absence of a fully developed theory regarding the use of these measures, the author recommends they only be used to evaluate the performance of money managers who make use of equity assets.</w:t>
      </w:r>
    </w:p>
    <w:p w:rsidR="005B67A1" w:rsidRDefault="005B67A1">
      <w:pPr>
        <w:pStyle w:val="Risk-Heading1"/>
        <w:spacing w:line="240" w:lineRule="auto"/>
      </w:pPr>
      <w:r>
        <w:br w:type="page"/>
      </w:r>
      <w:r>
        <w:lastRenderedPageBreak/>
        <w:t>Appendix A: Calculations</w:t>
      </w:r>
    </w:p>
    <w:p w:rsidR="005B67A1" w:rsidRDefault="005B67A1">
      <w:pPr>
        <w:pBdr>
          <w:top w:val="single" w:sz="6" w:space="1" w:color="auto"/>
        </w:pBdr>
        <w:spacing w:line="480" w:lineRule="auto"/>
        <w:rPr>
          <w:rFonts w:ascii="Arial" w:hAnsi="Arial" w:cs="Arial"/>
          <w:sz w:val="20"/>
          <w:szCs w:val="20"/>
        </w:rPr>
      </w:pPr>
      <w:r>
        <w:rPr>
          <w:rFonts w:ascii="Arial" w:hAnsi="Arial" w:cs="Arial"/>
          <w:sz w:val="20"/>
          <w:szCs w:val="20"/>
        </w:rPr>
        <w:t>Variance:</w:t>
      </w:r>
    </w:p>
    <w:p w:rsidR="005B67A1" w:rsidRDefault="005B67A1">
      <w:pPr>
        <w:spacing w:line="480" w:lineRule="auto"/>
        <w:jc w:val="center"/>
        <w:rPr>
          <w:rFonts w:ascii="Arial" w:hAnsi="Arial" w:cs="Arial"/>
          <w:sz w:val="16"/>
          <w:szCs w:val="16"/>
        </w:rPr>
      </w:pPr>
      <w:r>
        <w:rPr>
          <w:rFonts w:ascii="Arial" w:hAnsi="Arial" w:cs="Arial"/>
          <w:sz w:val="16"/>
          <w:szCs w:val="16"/>
        </w:rPr>
        <w:sym w:font="Symbol" w:char="F073"/>
      </w:r>
      <w:r>
        <w:rPr>
          <w:rFonts w:ascii="Arial" w:hAnsi="Arial" w:cs="Arial"/>
          <w:sz w:val="16"/>
          <w:szCs w:val="16"/>
          <w:vertAlign w:val="superscript"/>
        </w:rPr>
        <w:t>2</w:t>
      </w:r>
      <w:r>
        <w:rPr>
          <w:rFonts w:ascii="Arial" w:hAnsi="Arial" w:cs="Arial"/>
          <w:sz w:val="16"/>
          <w:szCs w:val="16"/>
        </w:rPr>
        <w:t xml:space="preserve"> = </w:t>
      </w:r>
      <w:r w:rsidR="005F38F5">
        <w:rPr>
          <w:rFonts w:ascii="Arial" w:hAnsi="Arial" w:cs="Arial"/>
          <w:position w:val="-22"/>
          <w:sz w:val="20"/>
          <w:szCs w:val="20"/>
        </w:rPr>
        <w:object w:dxaOrig="1140" w:dyaOrig="700">
          <v:shape id="_x0000_i1029" type="#_x0000_t75" style="width:57pt;height:35.25pt" o:ole="" fillcolor="window">
            <v:imagedata r:id="rId16" o:title=""/>
          </v:shape>
          <o:OLEObject Type="Embed" ProgID="Equation.3" ShapeID="_x0000_i1029" DrawAspect="Content" ObjectID="_1501941733" r:id="rId17"/>
        </w:object>
      </w:r>
    </w:p>
    <w:p w:rsidR="005B67A1" w:rsidRDefault="005B67A1">
      <w:pPr>
        <w:pBdr>
          <w:top w:val="single" w:sz="6" w:space="1" w:color="auto"/>
        </w:pBdr>
        <w:spacing w:line="480" w:lineRule="auto"/>
        <w:rPr>
          <w:rFonts w:ascii="Arial" w:hAnsi="Arial" w:cs="Arial"/>
          <w:sz w:val="20"/>
          <w:szCs w:val="20"/>
        </w:rPr>
      </w:pPr>
      <w:r>
        <w:rPr>
          <w:rFonts w:ascii="Arial" w:hAnsi="Arial" w:cs="Arial"/>
          <w:sz w:val="20"/>
          <w:szCs w:val="20"/>
        </w:rPr>
        <w:t>Standard Deviation:</w:t>
      </w:r>
    </w:p>
    <w:p w:rsidR="005B67A1" w:rsidRDefault="005B67A1">
      <w:pPr>
        <w:spacing w:line="480" w:lineRule="auto"/>
        <w:jc w:val="center"/>
        <w:rPr>
          <w:rFonts w:ascii="Arial" w:hAnsi="Arial" w:cs="Arial"/>
          <w:sz w:val="16"/>
          <w:szCs w:val="16"/>
        </w:rPr>
      </w:pPr>
      <w:r>
        <w:rPr>
          <w:rFonts w:ascii="Arial" w:hAnsi="Arial" w:cs="Arial"/>
          <w:sz w:val="16"/>
          <w:szCs w:val="16"/>
        </w:rPr>
        <w:sym w:font="Symbol" w:char="F073"/>
      </w:r>
      <w:r>
        <w:rPr>
          <w:rFonts w:ascii="Arial" w:hAnsi="Arial" w:cs="Arial"/>
          <w:sz w:val="16"/>
          <w:szCs w:val="16"/>
        </w:rPr>
        <w:t xml:space="preserve"> = </w:t>
      </w:r>
      <w:r w:rsidR="005F38F5">
        <w:rPr>
          <w:rFonts w:ascii="Arial" w:hAnsi="Arial" w:cs="Arial"/>
          <w:position w:val="-8"/>
          <w:sz w:val="20"/>
          <w:szCs w:val="20"/>
        </w:rPr>
        <w:object w:dxaOrig="540" w:dyaOrig="380">
          <v:shape id="_x0000_i1030" type="#_x0000_t75" style="width:27pt;height:18.75pt" o:ole="" fillcolor="window">
            <v:imagedata r:id="rId18" o:title=""/>
          </v:shape>
          <o:OLEObject Type="Embed" ProgID="Equation.3" ShapeID="_x0000_i1030" DrawAspect="Content" ObjectID="_1501941734" r:id="rId19"/>
        </w:object>
      </w:r>
    </w:p>
    <w:p w:rsidR="005B67A1" w:rsidRDefault="005B67A1">
      <w:pPr>
        <w:pBdr>
          <w:top w:val="single" w:sz="6" w:space="1" w:color="auto"/>
        </w:pBdr>
        <w:spacing w:line="480" w:lineRule="auto"/>
        <w:rPr>
          <w:rFonts w:ascii="Arial" w:hAnsi="Arial" w:cs="Arial"/>
          <w:sz w:val="20"/>
          <w:szCs w:val="20"/>
        </w:rPr>
      </w:pPr>
      <w:r>
        <w:rPr>
          <w:rFonts w:ascii="Arial" w:hAnsi="Arial" w:cs="Arial"/>
          <w:sz w:val="20"/>
          <w:szCs w:val="20"/>
        </w:rPr>
        <w:t>Beta:</w:t>
      </w:r>
    </w:p>
    <w:p w:rsidR="005B67A1" w:rsidRDefault="005B67A1">
      <w:pPr>
        <w:spacing w:line="480" w:lineRule="auto"/>
        <w:jc w:val="center"/>
        <w:rPr>
          <w:rFonts w:ascii="Arial" w:hAnsi="Arial" w:cs="Arial"/>
          <w:sz w:val="16"/>
          <w:szCs w:val="16"/>
        </w:rPr>
      </w:pPr>
      <w:r>
        <w:rPr>
          <w:rFonts w:ascii="Arial" w:hAnsi="Arial" w:cs="Arial"/>
          <w:i/>
          <w:iCs/>
          <w:sz w:val="16"/>
          <w:szCs w:val="16"/>
        </w:rPr>
        <w:sym w:font="Symbol" w:char="F062"/>
      </w:r>
      <w:r>
        <w:rPr>
          <w:rFonts w:ascii="Arial" w:hAnsi="Arial" w:cs="Arial"/>
          <w:sz w:val="16"/>
          <w:szCs w:val="16"/>
          <w:vertAlign w:val="subscript"/>
        </w:rPr>
        <w:t>ip</w:t>
      </w:r>
      <w:r>
        <w:rPr>
          <w:rFonts w:ascii="Arial" w:hAnsi="Arial" w:cs="Arial"/>
          <w:sz w:val="16"/>
          <w:szCs w:val="16"/>
        </w:rPr>
        <w:t xml:space="preserve"> = </w:t>
      </w:r>
      <w:r w:rsidR="005F38F5">
        <w:rPr>
          <w:rFonts w:ascii="Arial" w:hAnsi="Arial" w:cs="Arial"/>
          <w:position w:val="-36"/>
          <w:sz w:val="20"/>
          <w:szCs w:val="20"/>
        </w:rPr>
        <w:object w:dxaOrig="1920" w:dyaOrig="859">
          <v:shape id="_x0000_i1031" type="#_x0000_t75" style="width:96pt;height:42.75pt" o:ole="" fillcolor="window">
            <v:imagedata r:id="rId20" o:title=""/>
          </v:shape>
          <o:OLEObject Type="Embed" ProgID="Equation.3" ShapeID="_x0000_i1031" DrawAspect="Content" ObjectID="_1501941735" r:id="rId21"/>
        </w:object>
      </w:r>
    </w:p>
    <w:p w:rsidR="005B67A1" w:rsidRDefault="005B67A1">
      <w:pPr>
        <w:pBdr>
          <w:top w:val="single" w:sz="6" w:space="1" w:color="auto"/>
        </w:pBdr>
        <w:spacing w:line="480" w:lineRule="auto"/>
        <w:rPr>
          <w:rFonts w:ascii="Arial" w:hAnsi="Arial" w:cs="Arial"/>
          <w:sz w:val="20"/>
          <w:szCs w:val="20"/>
        </w:rPr>
      </w:pPr>
      <w:r>
        <w:rPr>
          <w:rFonts w:ascii="Arial" w:hAnsi="Arial" w:cs="Arial"/>
          <w:sz w:val="20"/>
          <w:szCs w:val="20"/>
        </w:rPr>
        <w:t>Treynor Ratio:</w:t>
      </w:r>
    </w:p>
    <w:p w:rsidR="005B67A1" w:rsidRDefault="005B67A1">
      <w:pPr>
        <w:spacing w:line="480" w:lineRule="auto"/>
        <w:jc w:val="center"/>
        <w:rPr>
          <w:rFonts w:ascii="Arial" w:hAnsi="Arial" w:cs="Arial"/>
          <w:sz w:val="16"/>
          <w:szCs w:val="16"/>
        </w:rPr>
      </w:pPr>
      <w:r>
        <w:rPr>
          <w:rFonts w:ascii="Arial" w:hAnsi="Arial" w:cs="Arial"/>
          <w:sz w:val="16"/>
          <w:szCs w:val="16"/>
        </w:rPr>
        <w:t>T</w:t>
      </w:r>
      <w:r>
        <w:rPr>
          <w:rFonts w:ascii="Arial" w:hAnsi="Arial" w:cs="Arial"/>
          <w:sz w:val="16"/>
          <w:szCs w:val="16"/>
          <w:vertAlign w:val="subscript"/>
        </w:rPr>
        <w:t>i</w:t>
      </w:r>
      <w:r>
        <w:rPr>
          <w:rFonts w:ascii="Arial" w:hAnsi="Arial" w:cs="Arial"/>
          <w:sz w:val="16"/>
          <w:szCs w:val="16"/>
        </w:rPr>
        <w:t xml:space="preserve"> = </w:t>
      </w:r>
      <w:r w:rsidR="005F38F5">
        <w:rPr>
          <w:rFonts w:ascii="Arial" w:hAnsi="Arial" w:cs="Arial"/>
          <w:position w:val="-28"/>
          <w:sz w:val="20"/>
          <w:szCs w:val="20"/>
        </w:rPr>
        <w:object w:dxaOrig="1100" w:dyaOrig="700">
          <v:shape id="_x0000_i1032" type="#_x0000_t75" style="width:54.75pt;height:35.25pt" o:ole="" fillcolor="window">
            <v:imagedata r:id="rId22" o:title=""/>
          </v:shape>
          <o:OLEObject Type="Embed" ProgID="Equation.3" ShapeID="_x0000_i1032" DrawAspect="Content" ObjectID="_1501941736" r:id="rId23"/>
        </w:object>
      </w:r>
    </w:p>
    <w:p w:rsidR="005B67A1" w:rsidRDefault="005B67A1">
      <w:pPr>
        <w:spacing w:line="360" w:lineRule="auto"/>
        <w:ind w:left="720"/>
        <w:rPr>
          <w:rFonts w:ascii="Arial" w:hAnsi="Arial" w:cs="Arial"/>
          <w:sz w:val="16"/>
          <w:szCs w:val="16"/>
        </w:rPr>
      </w:pPr>
      <w:r>
        <w:rPr>
          <w:rFonts w:ascii="Arial" w:hAnsi="Arial" w:cs="Arial"/>
          <w:sz w:val="16"/>
          <w:szCs w:val="16"/>
        </w:rPr>
        <w:t>where:</w:t>
      </w:r>
    </w:p>
    <w:p w:rsidR="005B67A1" w:rsidRDefault="005F38F5">
      <w:pPr>
        <w:spacing w:line="360" w:lineRule="auto"/>
        <w:ind w:left="1440"/>
        <w:rPr>
          <w:rFonts w:ascii="Arial" w:hAnsi="Arial" w:cs="Arial"/>
          <w:sz w:val="16"/>
          <w:szCs w:val="16"/>
        </w:rPr>
      </w:pPr>
      <w:r>
        <w:rPr>
          <w:rFonts w:ascii="Arial" w:hAnsi="Arial" w:cs="Arial"/>
          <w:position w:val="-4"/>
          <w:sz w:val="20"/>
          <w:szCs w:val="20"/>
        </w:rPr>
        <w:object w:dxaOrig="240" w:dyaOrig="300">
          <v:shape id="_x0000_i1033" type="#_x0000_t75" style="width:12pt;height:15pt" o:ole="" fillcolor="window">
            <v:imagedata r:id="rId24" o:title=""/>
          </v:shape>
          <o:OLEObject Type="Embed" ProgID="Equation.3" ShapeID="_x0000_i1033" DrawAspect="Content" ObjectID="_1501941737" r:id="rId25"/>
        </w:object>
      </w:r>
      <w:r w:rsidR="005B67A1">
        <w:rPr>
          <w:rFonts w:ascii="Arial" w:hAnsi="Arial" w:cs="Arial"/>
          <w:sz w:val="16"/>
          <w:szCs w:val="16"/>
        </w:rPr>
        <w:t>= the annualized return for the money manager</w:t>
      </w:r>
    </w:p>
    <w:p w:rsidR="005B67A1" w:rsidRDefault="005F38F5">
      <w:pPr>
        <w:spacing w:line="360" w:lineRule="auto"/>
        <w:ind w:left="1440"/>
        <w:rPr>
          <w:rFonts w:ascii="Arial" w:hAnsi="Arial" w:cs="Arial"/>
          <w:sz w:val="16"/>
          <w:szCs w:val="16"/>
        </w:rPr>
      </w:pPr>
      <w:r>
        <w:rPr>
          <w:rFonts w:ascii="Arial" w:hAnsi="Arial" w:cs="Arial"/>
          <w:position w:val="-4"/>
          <w:sz w:val="20"/>
          <w:szCs w:val="20"/>
        </w:rPr>
        <w:object w:dxaOrig="540" w:dyaOrig="300">
          <v:shape id="_x0000_i1034" type="#_x0000_t75" style="width:27pt;height:15pt" o:ole="" fillcolor="window">
            <v:imagedata r:id="rId26" o:title=""/>
          </v:shape>
          <o:OLEObject Type="Embed" ProgID="Equation.3" ShapeID="_x0000_i1034" DrawAspect="Content" ObjectID="_1501941738" r:id="rId27"/>
        </w:object>
      </w:r>
      <w:r w:rsidR="005B67A1">
        <w:rPr>
          <w:rFonts w:ascii="Arial" w:hAnsi="Arial" w:cs="Arial"/>
          <w:sz w:val="16"/>
          <w:szCs w:val="16"/>
        </w:rPr>
        <w:t>= the annualized return for the risk free asset</w:t>
      </w:r>
    </w:p>
    <w:p w:rsidR="005B67A1" w:rsidRDefault="005F38F5">
      <w:pPr>
        <w:spacing w:line="360" w:lineRule="auto"/>
        <w:ind w:left="1440"/>
        <w:rPr>
          <w:rFonts w:ascii="Arial" w:hAnsi="Arial" w:cs="Arial"/>
          <w:sz w:val="16"/>
          <w:szCs w:val="16"/>
        </w:rPr>
      </w:pPr>
      <w:r>
        <w:rPr>
          <w:rFonts w:ascii="Arial" w:hAnsi="Arial" w:cs="Arial"/>
          <w:position w:val="-10"/>
          <w:sz w:val="20"/>
          <w:szCs w:val="20"/>
        </w:rPr>
        <w:object w:dxaOrig="220" w:dyaOrig="320">
          <v:shape id="_x0000_i1035" type="#_x0000_t75" style="width:11.25pt;height:15.75pt" o:ole="" fillcolor="window">
            <v:imagedata r:id="rId28" o:title=""/>
          </v:shape>
          <o:OLEObject Type="Embed" ProgID="Equation.3" ShapeID="_x0000_i1035" DrawAspect="Content" ObjectID="_1501941739" r:id="rId29"/>
        </w:object>
      </w:r>
      <w:r w:rsidR="005B67A1">
        <w:rPr>
          <w:rFonts w:ascii="Arial" w:hAnsi="Arial" w:cs="Arial"/>
          <w:sz w:val="16"/>
          <w:szCs w:val="16"/>
        </w:rPr>
        <w:t>= the slope coefficient of the manager relative to the benchmark index</w:t>
      </w:r>
    </w:p>
    <w:p w:rsidR="005B67A1" w:rsidRDefault="005B67A1">
      <w:pPr>
        <w:pBdr>
          <w:top w:val="single" w:sz="6" w:space="1" w:color="auto"/>
        </w:pBdr>
        <w:spacing w:line="480" w:lineRule="auto"/>
        <w:rPr>
          <w:rFonts w:ascii="Arial" w:hAnsi="Arial" w:cs="Arial"/>
          <w:sz w:val="20"/>
          <w:szCs w:val="20"/>
        </w:rPr>
      </w:pPr>
      <w:r>
        <w:rPr>
          <w:rFonts w:ascii="Arial" w:hAnsi="Arial" w:cs="Arial"/>
          <w:sz w:val="20"/>
          <w:szCs w:val="20"/>
        </w:rPr>
        <w:t>Sharpe Ratio:</w:t>
      </w:r>
    </w:p>
    <w:p w:rsidR="005B67A1" w:rsidRDefault="005B67A1">
      <w:pPr>
        <w:spacing w:line="480" w:lineRule="auto"/>
        <w:jc w:val="center"/>
        <w:rPr>
          <w:rFonts w:ascii="Arial" w:hAnsi="Arial" w:cs="Arial"/>
          <w:sz w:val="16"/>
          <w:szCs w:val="16"/>
        </w:rPr>
      </w:pPr>
      <w:r>
        <w:rPr>
          <w:rFonts w:ascii="Arial" w:hAnsi="Arial" w:cs="Arial"/>
          <w:sz w:val="16"/>
          <w:szCs w:val="16"/>
        </w:rPr>
        <w:t>S</w:t>
      </w:r>
      <w:r>
        <w:rPr>
          <w:rFonts w:ascii="Arial" w:hAnsi="Arial" w:cs="Arial"/>
          <w:sz w:val="16"/>
          <w:szCs w:val="16"/>
          <w:vertAlign w:val="subscript"/>
        </w:rPr>
        <w:t>i</w:t>
      </w:r>
      <w:r>
        <w:rPr>
          <w:rFonts w:ascii="Arial" w:hAnsi="Arial" w:cs="Arial"/>
          <w:sz w:val="16"/>
          <w:szCs w:val="16"/>
        </w:rPr>
        <w:t xml:space="preserve"> = </w:t>
      </w:r>
      <w:r w:rsidR="005F38F5">
        <w:rPr>
          <w:rFonts w:ascii="Arial" w:hAnsi="Arial" w:cs="Arial"/>
          <w:position w:val="-24"/>
          <w:sz w:val="20"/>
          <w:szCs w:val="20"/>
        </w:rPr>
        <w:object w:dxaOrig="1100" w:dyaOrig="660">
          <v:shape id="_x0000_i1036" type="#_x0000_t75" style="width:54.75pt;height:33pt" o:ole="" fillcolor="window">
            <v:imagedata r:id="rId30" o:title=""/>
          </v:shape>
          <o:OLEObject Type="Embed" ProgID="Equation.3" ShapeID="_x0000_i1036" DrawAspect="Content" ObjectID="_1501941740" r:id="rId31"/>
        </w:object>
      </w:r>
    </w:p>
    <w:p w:rsidR="005B67A1" w:rsidRDefault="005B67A1">
      <w:pPr>
        <w:spacing w:line="480" w:lineRule="auto"/>
        <w:ind w:left="720"/>
        <w:rPr>
          <w:rFonts w:ascii="Arial" w:hAnsi="Arial" w:cs="Arial"/>
          <w:sz w:val="16"/>
          <w:szCs w:val="16"/>
        </w:rPr>
      </w:pPr>
      <w:r>
        <w:rPr>
          <w:rFonts w:ascii="Arial" w:hAnsi="Arial" w:cs="Arial"/>
          <w:sz w:val="16"/>
          <w:szCs w:val="16"/>
        </w:rPr>
        <w:t>where:</w:t>
      </w:r>
    </w:p>
    <w:p w:rsidR="005B67A1" w:rsidRDefault="005F38F5">
      <w:pPr>
        <w:spacing w:line="360" w:lineRule="auto"/>
        <w:ind w:left="1440"/>
        <w:rPr>
          <w:rFonts w:ascii="Arial" w:hAnsi="Arial" w:cs="Arial"/>
          <w:sz w:val="16"/>
          <w:szCs w:val="16"/>
        </w:rPr>
      </w:pPr>
      <w:r>
        <w:rPr>
          <w:rFonts w:ascii="Arial" w:hAnsi="Arial" w:cs="Arial"/>
          <w:position w:val="-4"/>
          <w:sz w:val="20"/>
          <w:szCs w:val="20"/>
        </w:rPr>
        <w:object w:dxaOrig="240" w:dyaOrig="300">
          <v:shape id="_x0000_i1037" type="#_x0000_t75" style="width:12pt;height:15pt" o:ole="" fillcolor="window">
            <v:imagedata r:id="rId24" o:title=""/>
          </v:shape>
          <o:OLEObject Type="Embed" ProgID="Equation.3" ShapeID="_x0000_i1037" DrawAspect="Content" ObjectID="_1501941741" r:id="rId32"/>
        </w:object>
      </w:r>
      <w:r w:rsidR="005B67A1">
        <w:rPr>
          <w:rFonts w:ascii="Arial" w:hAnsi="Arial" w:cs="Arial"/>
          <w:sz w:val="16"/>
          <w:szCs w:val="16"/>
        </w:rPr>
        <w:t>= the annualized return for the money manager</w:t>
      </w:r>
    </w:p>
    <w:p w:rsidR="005B67A1" w:rsidRDefault="005F38F5">
      <w:pPr>
        <w:spacing w:line="360" w:lineRule="auto"/>
        <w:ind w:left="1440"/>
        <w:rPr>
          <w:rFonts w:ascii="Arial" w:hAnsi="Arial" w:cs="Arial"/>
          <w:sz w:val="16"/>
          <w:szCs w:val="16"/>
        </w:rPr>
      </w:pPr>
      <w:r>
        <w:rPr>
          <w:rFonts w:ascii="Arial" w:hAnsi="Arial" w:cs="Arial"/>
          <w:position w:val="-4"/>
          <w:sz w:val="20"/>
          <w:szCs w:val="20"/>
        </w:rPr>
        <w:object w:dxaOrig="540" w:dyaOrig="300">
          <v:shape id="_x0000_i1038" type="#_x0000_t75" style="width:27pt;height:15pt" o:ole="" fillcolor="window">
            <v:imagedata r:id="rId26" o:title=""/>
          </v:shape>
          <o:OLEObject Type="Embed" ProgID="Equation.3" ShapeID="_x0000_i1038" DrawAspect="Content" ObjectID="_1501941742" r:id="rId33"/>
        </w:object>
      </w:r>
      <w:r w:rsidR="005B67A1">
        <w:rPr>
          <w:rFonts w:ascii="Arial" w:hAnsi="Arial" w:cs="Arial"/>
          <w:sz w:val="16"/>
          <w:szCs w:val="16"/>
        </w:rPr>
        <w:t>= the annualized return for the risk free asset</w:t>
      </w:r>
    </w:p>
    <w:p w:rsidR="005B67A1" w:rsidRDefault="005F38F5">
      <w:pPr>
        <w:spacing w:line="360" w:lineRule="auto"/>
        <w:ind w:left="1440"/>
        <w:rPr>
          <w:rFonts w:ascii="Arial" w:hAnsi="Arial" w:cs="Arial"/>
          <w:sz w:val="16"/>
          <w:szCs w:val="16"/>
        </w:rPr>
      </w:pPr>
      <w:r>
        <w:rPr>
          <w:rFonts w:ascii="Arial" w:hAnsi="Arial" w:cs="Arial"/>
          <w:position w:val="-6"/>
          <w:sz w:val="20"/>
          <w:szCs w:val="20"/>
        </w:rPr>
        <w:object w:dxaOrig="240" w:dyaOrig="220">
          <v:shape id="_x0000_i1039" type="#_x0000_t75" style="width:12pt;height:11.25pt" o:ole="" fillcolor="window">
            <v:imagedata r:id="rId34" o:title=""/>
          </v:shape>
          <o:OLEObject Type="Embed" ProgID="Equation.3" ShapeID="_x0000_i1039" DrawAspect="Content" ObjectID="_1501941743" r:id="rId35"/>
        </w:object>
      </w:r>
      <w:r w:rsidR="005B67A1">
        <w:rPr>
          <w:rFonts w:ascii="Arial" w:hAnsi="Arial" w:cs="Arial"/>
          <w:sz w:val="16"/>
          <w:szCs w:val="16"/>
        </w:rPr>
        <w:t>= the standard deviation of the money manager returns</w:t>
      </w:r>
    </w:p>
    <w:p w:rsidR="005B67A1" w:rsidRDefault="005B67A1">
      <w:pPr>
        <w:pBdr>
          <w:top w:val="single" w:sz="6" w:space="1" w:color="auto"/>
        </w:pBdr>
        <w:spacing w:line="480" w:lineRule="auto"/>
        <w:rPr>
          <w:rFonts w:ascii="Arial" w:hAnsi="Arial" w:cs="Arial"/>
          <w:sz w:val="20"/>
          <w:szCs w:val="20"/>
        </w:rPr>
      </w:pPr>
      <w:r>
        <w:rPr>
          <w:rFonts w:ascii="Arial" w:hAnsi="Arial" w:cs="Arial"/>
          <w:sz w:val="20"/>
          <w:szCs w:val="20"/>
        </w:rPr>
        <w:t>Jensen's Alpha:</w:t>
      </w:r>
    </w:p>
    <w:p w:rsidR="005B67A1" w:rsidRDefault="005B67A1">
      <w:pPr>
        <w:spacing w:line="480" w:lineRule="auto"/>
        <w:ind w:left="720"/>
        <w:rPr>
          <w:rFonts w:ascii="Arial" w:hAnsi="Arial" w:cs="Arial"/>
          <w:sz w:val="16"/>
          <w:szCs w:val="16"/>
        </w:rPr>
      </w:pPr>
      <w:r>
        <w:rPr>
          <w:rFonts w:ascii="Arial" w:hAnsi="Arial" w:cs="Arial"/>
          <w:b/>
          <w:bCs/>
          <w:sz w:val="16"/>
          <w:szCs w:val="16"/>
        </w:rPr>
        <w:t>r</w:t>
      </w:r>
      <w:r>
        <w:rPr>
          <w:rFonts w:ascii="Arial" w:hAnsi="Arial" w:cs="Arial"/>
          <w:b/>
          <w:bCs/>
          <w:sz w:val="16"/>
          <w:szCs w:val="16"/>
          <w:vertAlign w:val="subscript"/>
        </w:rPr>
        <w:t>i</w:t>
      </w:r>
      <w:r>
        <w:rPr>
          <w:rFonts w:ascii="Arial" w:hAnsi="Arial" w:cs="Arial"/>
          <w:b/>
          <w:bCs/>
          <w:sz w:val="16"/>
          <w:szCs w:val="16"/>
        </w:rPr>
        <w:t xml:space="preserve"> - r</w:t>
      </w:r>
      <w:r>
        <w:rPr>
          <w:rFonts w:ascii="Arial" w:hAnsi="Arial" w:cs="Arial"/>
          <w:b/>
          <w:bCs/>
          <w:sz w:val="16"/>
          <w:szCs w:val="16"/>
          <w:vertAlign w:val="subscript"/>
        </w:rPr>
        <w:t>f</w:t>
      </w:r>
      <w:r>
        <w:rPr>
          <w:rFonts w:ascii="Arial" w:hAnsi="Arial" w:cs="Arial"/>
          <w:b/>
          <w:bCs/>
          <w:sz w:val="16"/>
          <w:szCs w:val="16"/>
        </w:rPr>
        <w:t xml:space="preserve"> = </w:t>
      </w:r>
      <w:r>
        <w:rPr>
          <w:rFonts w:ascii="Arial" w:hAnsi="Arial" w:cs="Arial"/>
          <w:b/>
          <w:bCs/>
          <w:caps/>
          <w:sz w:val="16"/>
          <w:szCs w:val="16"/>
        </w:rPr>
        <w:sym w:font="Symbol" w:char="F061"/>
      </w:r>
      <w:r>
        <w:rPr>
          <w:rFonts w:ascii="Arial" w:hAnsi="Arial" w:cs="Arial"/>
          <w:b/>
          <w:bCs/>
          <w:sz w:val="16"/>
          <w:szCs w:val="16"/>
          <w:vertAlign w:val="subscript"/>
        </w:rPr>
        <w:t>i</w:t>
      </w:r>
      <w:r>
        <w:rPr>
          <w:rFonts w:ascii="Arial" w:hAnsi="Arial" w:cs="Arial"/>
          <w:b/>
          <w:bCs/>
          <w:caps/>
          <w:sz w:val="16"/>
          <w:szCs w:val="16"/>
          <w:vertAlign w:val="subscript"/>
        </w:rPr>
        <w:t>M</w:t>
      </w:r>
      <w:r>
        <w:rPr>
          <w:rFonts w:ascii="Arial" w:hAnsi="Arial" w:cs="Arial"/>
          <w:b/>
          <w:bCs/>
          <w:caps/>
          <w:sz w:val="16"/>
          <w:szCs w:val="16"/>
        </w:rPr>
        <w:t xml:space="preserve"> + (</w:t>
      </w:r>
      <w:r>
        <w:rPr>
          <w:rFonts w:ascii="Arial" w:hAnsi="Arial" w:cs="Arial"/>
          <w:b/>
          <w:bCs/>
          <w:sz w:val="16"/>
          <w:szCs w:val="16"/>
        </w:rPr>
        <w:t>r</w:t>
      </w:r>
      <w:r>
        <w:rPr>
          <w:rFonts w:ascii="Arial" w:hAnsi="Arial" w:cs="Arial"/>
          <w:b/>
          <w:bCs/>
          <w:sz w:val="16"/>
          <w:szCs w:val="16"/>
          <w:vertAlign w:val="subscript"/>
        </w:rPr>
        <w:t>M</w:t>
      </w:r>
      <w:r>
        <w:rPr>
          <w:rFonts w:ascii="Arial" w:hAnsi="Arial" w:cs="Arial"/>
          <w:b/>
          <w:bCs/>
          <w:sz w:val="16"/>
          <w:szCs w:val="16"/>
        </w:rPr>
        <w:t xml:space="preserve"> - r</w:t>
      </w:r>
      <w:r>
        <w:rPr>
          <w:rFonts w:ascii="Arial" w:hAnsi="Arial" w:cs="Arial"/>
          <w:b/>
          <w:bCs/>
          <w:sz w:val="16"/>
          <w:szCs w:val="16"/>
          <w:vertAlign w:val="subscript"/>
        </w:rPr>
        <w:t>f</w:t>
      </w:r>
      <w:r>
        <w:rPr>
          <w:rFonts w:ascii="Arial" w:hAnsi="Arial" w:cs="Arial"/>
          <w:b/>
          <w:bCs/>
          <w:sz w:val="16"/>
          <w:szCs w:val="16"/>
        </w:rPr>
        <w:t xml:space="preserve">) </w:t>
      </w:r>
      <w:r>
        <w:rPr>
          <w:rFonts w:ascii="Arial" w:hAnsi="Arial" w:cs="Arial"/>
          <w:b/>
          <w:bCs/>
          <w:sz w:val="16"/>
          <w:szCs w:val="16"/>
        </w:rPr>
        <w:sym w:font="Symbol" w:char="F062"/>
      </w:r>
      <w:r>
        <w:rPr>
          <w:rFonts w:ascii="Arial" w:hAnsi="Arial" w:cs="Arial"/>
          <w:b/>
          <w:bCs/>
          <w:sz w:val="16"/>
          <w:szCs w:val="16"/>
          <w:vertAlign w:val="subscript"/>
        </w:rPr>
        <w:t>iM</w:t>
      </w:r>
      <w:r>
        <w:rPr>
          <w:rFonts w:ascii="Arial" w:hAnsi="Arial" w:cs="Arial"/>
          <w:b/>
          <w:bCs/>
          <w:sz w:val="16"/>
          <w:szCs w:val="16"/>
        </w:rPr>
        <w:t xml:space="preserve"> + U</w:t>
      </w:r>
      <w:r>
        <w:rPr>
          <w:rFonts w:ascii="Arial" w:hAnsi="Arial" w:cs="Arial"/>
          <w:b/>
          <w:bCs/>
          <w:sz w:val="16"/>
          <w:szCs w:val="16"/>
          <w:vertAlign w:val="subscript"/>
        </w:rPr>
        <w:t>i</w:t>
      </w:r>
      <w:r>
        <w:rPr>
          <w:rFonts w:ascii="Arial" w:hAnsi="Arial" w:cs="Arial"/>
          <w:sz w:val="16"/>
          <w:szCs w:val="16"/>
        </w:rPr>
        <w:t>; where:</w:t>
      </w:r>
    </w:p>
    <w:p w:rsidR="005B67A1" w:rsidRDefault="005B67A1">
      <w:pPr>
        <w:spacing w:line="360" w:lineRule="auto"/>
        <w:ind w:left="1440"/>
        <w:rPr>
          <w:rFonts w:ascii="Arial" w:hAnsi="Arial" w:cs="Arial"/>
          <w:sz w:val="16"/>
          <w:szCs w:val="16"/>
        </w:rPr>
      </w:pPr>
      <w:r>
        <w:rPr>
          <w:rFonts w:ascii="Arial" w:hAnsi="Arial" w:cs="Arial"/>
          <w:sz w:val="16"/>
          <w:szCs w:val="16"/>
        </w:rPr>
        <w:t>r</w:t>
      </w:r>
      <w:r>
        <w:rPr>
          <w:rFonts w:ascii="Arial" w:hAnsi="Arial" w:cs="Arial"/>
          <w:sz w:val="16"/>
          <w:szCs w:val="16"/>
          <w:vertAlign w:val="subscript"/>
        </w:rPr>
        <w:t xml:space="preserve">i </w:t>
      </w:r>
      <w:r>
        <w:rPr>
          <w:rFonts w:ascii="Arial" w:hAnsi="Arial" w:cs="Arial"/>
          <w:sz w:val="16"/>
          <w:szCs w:val="16"/>
        </w:rPr>
        <w:t xml:space="preserve">= the expected return on security or portfolio </w:t>
      </w:r>
      <w:r>
        <w:rPr>
          <w:rFonts w:ascii="Arial" w:hAnsi="Arial" w:cs="Arial"/>
          <w:i/>
          <w:iCs/>
          <w:sz w:val="16"/>
          <w:szCs w:val="16"/>
        </w:rPr>
        <w:t>i</w:t>
      </w:r>
    </w:p>
    <w:p w:rsidR="005B67A1" w:rsidRDefault="005B67A1">
      <w:pPr>
        <w:spacing w:line="360" w:lineRule="auto"/>
        <w:ind w:left="1440"/>
        <w:rPr>
          <w:rFonts w:ascii="Arial" w:hAnsi="Arial" w:cs="Arial"/>
          <w:sz w:val="16"/>
          <w:szCs w:val="16"/>
          <w:vertAlign w:val="subscript"/>
        </w:rPr>
      </w:pPr>
      <w:r>
        <w:rPr>
          <w:rFonts w:ascii="Arial" w:hAnsi="Arial" w:cs="Arial"/>
          <w:sz w:val="16"/>
          <w:szCs w:val="16"/>
        </w:rPr>
        <w:t>r</w:t>
      </w:r>
      <w:r>
        <w:rPr>
          <w:rFonts w:ascii="Arial" w:hAnsi="Arial" w:cs="Arial"/>
          <w:sz w:val="16"/>
          <w:szCs w:val="16"/>
          <w:vertAlign w:val="subscript"/>
        </w:rPr>
        <w:t xml:space="preserve">f </w:t>
      </w:r>
      <w:r>
        <w:rPr>
          <w:rFonts w:ascii="Arial" w:hAnsi="Arial" w:cs="Arial"/>
          <w:sz w:val="16"/>
          <w:szCs w:val="16"/>
        </w:rPr>
        <w:t>= the risk free interest rate</w:t>
      </w:r>
    </w:p>
    <w:p w:rsidR="005B67A1" w:rsidRDefault="005B67A1">
      <w:pPr>
        <w:spacing w:line="360" w:lineRule="auto"/>
        <w:ind w:left="1440"/>
        <w:rPr>
          <w:rFonts w:ascii="Arial" w:hAnsi="Arial" w:cs="Arial"/>
          <w:caps/>
          <w:sz w:val="16"/>
          <w:szCs w:val="16"/>
          <w:vertAlign w:val="subscript"/>
        </w:rPr>
      </w:pPr>
      <w:r>
        <w:rPr>
          <w:rFonts w:ascii="Arial" w:hAnsi="Arial" w:cs="Arial"/>
          <w:caps/>
          <w:sz w:val="16"/>
          <w:szCs w:val="16"/>
        </w:rPr>
        <w:sym w:font="Symbol" w:char="F061"/>
      </w:r>
      <w:r>
        <w:rPr>
          <w:rFonts w:ascii="Arial" w:hAnsi="Arial" w:cs="Arial"/>
          <w:sz w:val="16"/>
          <w:szCs w:val="16"/>
          <w:vertAlign w:val="subscript"/>
        </w:rPr>
        <w:t>i</w:t>
      </w:r>
      <w:r>
        <w:rPr>
          <w:rFonts w:ascii="Arial" w:hAnsi="Arial" w:cs="Arial"/>
          <w:caps/>
          <w:sz w:val="16"/>
          <w:szCs w:val="16"/>
          <w:vertAlign w:val="subscript"/>
        </w:rPr>
        <w:t xml:space="preserve">M </w:t>
      </w:r>
      <w:r>
        <w:rPr>
          <w:rFonts w:ascii="Arial" w:hAnsi="Arial" w:cs="Arial"/>
          <w:caps/>
          <w:sz w:val="16"/>
          <w:szCs w:val="16"/>
        </w:rPr>
        <w:t xml:space="preserve">= </w:t>
      </w:r>
      <w:r>
        <w:rPr>
          <w:rFonts w:ascii="Arial" w:hAnsi="Arial" w:cs="Arial"/>
          <w:sz w:val="16"/>
          <w:szCs w:val="16"/>
        </w:rPr>
        <w:t>the intercept coefficient</w:t>
      </w:r>
    </w:p>
    <w:p w:rsidR="005B67A1" w:rsidRDefault="005B67A1">
      <w:pPr>
        <w:spacing w:line="360" w:lineRule="auto"/>
        <w:ind w:left="1440"/>
        <w:rPr>
          <w:rFonts w:ascii="Arial" w:hAnsi="Arial" w:cs="Arial"/>
          <w:sz w:val="16"/>
          <w:szCs w:val="16"/>
        </w:rPr>
      </w:pPr>
      <w:r>
        <w:rPr>
          <w:rFonts w:ascii="Arial" w:hAnsi="Arial" w:cs="Arial"/>
          <w:sz w:val="16"/>
          <w:szCs w:val="16"/>
        </w:rPr>
        <w:t>r</w:t>
      </w:r>
      <w:r>
        <w:rPr>
          <w:rFonts w:ascii="Arial" w:hAnsi="Arial" w:cs="Arial"/>
          <w:sz w:val="16"/>
          <w:szCs w:val="16"/>
          <w:vertAlign w:val="subscript"/>
        </w:rPr>
        <w:t>M</w:t>
      </w:r>
      <w:r>
        <w:rPr>
          <w:rFonts w:ascii="Arial" w:hAnsi="Arial" w:cs="Arial"/>
          <w:sz w:val="16"/>
          <w:szCs w:val="16"/>
        </w:rPr>
        <w:t xml:space="preserve"> = the expected return on the market portfolio of risky assets</w:t>
      </w:r>
    </w:p>
    <w:p w:rsidR="005B67A1" w:rsidRDefault="005B67A1">
      <w:pPr>
        <w:spacing w:line="360" w:lineRule="auto"/>
        <w:ind w:left="1440"/>
        <w:rPr>
          <w:rFonts w:ascii="Arial" w:hAnsi="Arial" w:cs="Arial"/>
          <w:sz w:val="16"/>
          <w:szCs w:val="16"/>
          <w:vertAlign w:val="subscript"/>
        </w:rPr>
      </w:pPr>
      <w:r>
        <w:rPr>
          <w:rFonts w:ascii="Arial" w:hAnsi="Arial" w:cs="Arial"/>
          <w:sz w:val="16"/>
          <w:szCs w:val="16"/>
        </w:rPr>
        <w:sym w:font="Symbol" w:char="F062"/>
      </w:r>
      <w:r>
        <w:rPr>
          <w:rFonts w:ascii="Arial" w:hAnsi="Arial" w:cs="Arial"/>
          <w:sz w:val="16"/>
          <w:szCs w:val="16"/>
          <w:vertAlign w:val="subscript"/>
        </w:rPr>
        <w:t>iM</w:t>
      </w:r>
      <w:r>
        <w:rPr>
          <w:rFonts w:ascii="Arial" w:hAnsi="Arial" w:cs="Arial"/>
          <w:sz w:val="16"/>
          <w:szCs w:val="16"/>
        </w:rPr>
        <w:t xml:space="preserve"> = the systematic risk for security or portfolio </w:t>
      </w:r>
      <w:r>
        <w:rPr>
          <w:rFonts w:ascii="Arial" w:hAnsi="Arial" w:cs="Arial"/>
          <w:i/>
          <w:iCs/>
          <w:sz w:val="16"/>
          <w:szCs w:val="16"/>
        </w:rPr>
        <w:t>i</w:t>
      </w:r>
    </w:p>
    <w:p w:rsidR="005B67A1" w:rsidRDefault="005B67A1">
      <w:pPr>
        <w:spacing w:line="360" w:lineRule="auto"/>
        <w:ind w:left="1440"/>
        <w:rPr>
          <w:rFonts w:ascii="Arial" w:hAnsi="Arial" w:cs="Arial"/>
          <w:sz w:val="16"/>
          <w:szCs w:val="16"/>
        </w:rPr>
      </w:pPr>
      <w:r>
        <w:rPr>
          <w:rFonts w:ascii="Arial" w:hAnsi="Arial" w:cs="Arial"/>
          <w:sz w:val="16"/>
          <w:szCs w:val="16"/>
        </w:rPr>
        <w:t>U</w:t>
      </w:r>
      <w:r>
        <w:rPr>
          <w:rFonts w:ascii="Arial" w:hAnsi="Arial" w:cs="Arial"/>
          <w:sz w:val="16"/>
          <w:szCs w:val="16"/>
          <w:vertAlign w:val="subscript"/>
        </w:rPr>
        <w:t>i</w:t>
      </w:r>
      <w:r>
        <w:rPr>
          <w:rFonts w:ascii="Arial" w:hAnsi="Arial" w:cs="Arial"/>
          <w:sz w:val="16"/>
          <w:szCs w:val="16"/>
        </w:rPr>
        <w:t>; = the residual or error term</w:t>
      </w:r>
    </w:p>
    <w:p w:rsidR="005B67A1" w:rsidRDefault="005B67A1">
      <w:pPr>
        <w:pStyle w:val="Risk-Heading1"/>
        <w:spacing w:line="240" w:lineRule="auto"/>
      </w:pPr>
      <w:r>
        <w:rPr>
          <w:sz w:val="16"/>
          <w:szCs w:val="16"/>
        </w:rPr>
        <w:br w:type="page"/>
      </w:r>
      <w:r>
        <w:lastRenderedPageBreak/>
        <w:t>Appendix B: Money Managers vs. Their Benchmarks by Various Measures for Five Separate Time Periods</w:t>
      </w:r>
    </w:p>
    <w:p w:rsidR="005B67A1" w:rsidRDefault="005B67A1">
      <w:pPr>
        <w:pBdr>
          <w:top w:val="single" w:sz="6" w:space="1" w:color="auto"/>
        </w:pBdr>
        <w:jc w:val="center"/>
        <w:rPr>
          <w:rFonts w:ascii="Arial" w:hAnsi="Arial" w:cs="Arial"/>
          <w:color w:val="000000"/>
          <w:sz w:val="20"/>
          <w:szCs w:val="20"/>
        </w:rPr>
      </w:pPr>
      <w:r>
        <w:rPr>
          <w:rFonts w:ascii="Arial" w:hAnsi="Arial" w:cs="Arial"/>
          <w:b/>
          <w:bCs/>
          <w:color w:val="000000"/>
          <w:sz w:val="20"/>
          <w:szCs w:val="20"/>
        </w:rPr>
        <w:t>Money Managers vs. Their Benchmark Index by Various Measures</w:t>
      </w:r>
    </w:p>
    <w:p w:rsidR="005B67A1" w:rsidRDefault="005B67A1">
      <w:pPr>
        <w:spacing w:after="120"/>
        <w:jc w:val="center"/>
        <w:rPr>
          <w:rFonts w:ascii="Arial" w:hAnsi="Arial" w:cs="Arial"/>
          <w:color w:val="000000"/>
          <w:sz w:val="20"/>
          <w:szCs w:val="20"/>
        </w:rPr>
      </w:pPr>
      <w:r>
        <w:rPr>
          <w:rFonts w:ascii="Arial" w:hAnsi="Arial" w:cs="Arial"/>
          <w:b/>
          <w:bCs/>
          <w:color w:val="000000"/>
          <w:sz w:val="20"/>
          <w:szCs w:val="20"/>
        </w:rPr>
        <w:t>First Quarter 1987 through Second Quarter 1990</w:t>
      </w:r>
    </w:p>
    <w:tbl>
      <w:tblPr>
        <w:tblW w:w="0" w:type="auto"/>
        <w:tblLayout w:type="fixed"/>
        <w:tblCellMar>
          <w:left w:w="30" w:type="dxa"/>
          <w:right w:w="30" w:type="dxa"/>
        </w:tblCellMar>
        <w:tblLook w:val="0000" w:firstRow="0" w:lastRow="0" w:firstColumn="0" w:lastColumn="0" w:noHBand="0" w:noVBand="0"/>
      </w:tblPr>
      <w:tblGrid>
        <w:gridCol w:w="2190"/>
        <w:gridCol w:w="2610"/>
        <w:gridCol w:w="3870"/>
      </w:tblGrid>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U.S. Equity (Compared to S&amp;P 500)</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0.46</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43.82%</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8.64</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48.09%</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0.35</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60.00%</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8.64</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47.87%</w:t>
            </w:r>
          </w:p>
        </w:tc>
      </w:tr>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Non-U.S. Equity (Compared to MSCI EAFE)</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0.29 </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76.33%</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6.64 </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84.06%</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0.43 </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61.35%</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6.64 </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67.63%</w:t>
            </w:r>
          </w:p>
        </w:tc>
      </w:tr>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U.S. Balanced (Compared to 50/40/10)</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0.57 </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29.77%</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5.17 </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34.39%</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0.50 </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43.06%</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5.17 </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32.95%</w:t>
            </w:r>
          </w:p>
        </w:tc>
      </w:tr>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U.S. Fixed Income (Compared to Lehman Brothers Aggregate Bond Index)</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0.21 </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49.92%</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1.21 </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51.49%</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0.38 </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43.01%</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1.21 </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44.43%</w:t>
            </w:r>
          </w:p>
        </w:tc>
      </w:tr>
    </w:tbl>
    <w:p w:rsidR="005B67A1" w:rsidRDefault="005B67A1"/>
    <w:p w:rsidR="005B67A1" w:rsidRDefault="005B67A1">
      <w:pPr>
        <w:pBdr>
          <w:top w:val="single" w:sz="6" w:space="1" w:color="auto"/>
        </w:pBdr>
        <w:jc w:val="center"/>
        <w:rPr>
          <w:rFonts w:ascii="Arial" w:hAnsi="Arial" w:cs="Arial"/>
          <w:color w:val="000000"/>
          <w:sz w:val="20"/>
          <w:szCs w:val="20"/>
        </w:rPr>
      </w:pPr>
      <w:r>
        <w:rPr>
          <w:rFonts w:ascii="Arial" w:hAnsi="Arial" w:cs="Arial"/>
          <w:b/>
          <w:bCs/>
          <w:color w:val="000000"/>
          <w:sz w:val="20"/>
          <w:szCs w:val="20"/>
        </w:rPr>
        <w:t>Money Managers vs. Their Benchmark Index by Various Measures</w:t>
      </w:r>
    </w:p>
    <w:p w:rsidR="005B67A1" w:rsidRDefault="005B67A1">
      <w:pPr>
        <w:spacing w:after="120"/>
        <w:jc w:val="center"/>
        <w:rPr>
          <w:rFonts w:ascii="Arial" w:hAnsi="Arial" w:cs="Arial"/>
          <w:color w:val="000000"/>
          <w:sz w:val="20"/>
          <w:szCs w:val="20"/>
        </w:rPr>
      </w:pPr>
      <w:r>
        <w:rPr>
          <w:rFonts w:ascii="Arial" w:hAnsi="Arial" w:cs="Arial"/>
          <w:b/>
          <w:bCs/>
          <w:color w:val="000000"/>
          <w:sz w:val="20"/>
          <w:szCs w:val="20"/>
        </w:rPr>
        <w:t>Third Quarter 1990 through Fourth Quarter 1993</w:t>
      </w:r>
    </w:p>
    <w:tbl>
      <w:tblPr>
        <w:tblW w:w="0" w:type="auto"/>
        <w:tblLayout w:type="fixed"/>
        <w:tblCellMar>
          <w:left w:w="30" w:type="dxa"/>
          <w:right w:w="30" w:type="dxa"/>
        </w:tblCellMar>
        <w:tblLook w:val="0000" w:firstRow="0" w:lastRow="0" w:firstColumn="0" w:lastColumn="0" w:noHBand="0" w:noVBand="0"/>
      </w:tblPr>
      <w:tblGrid>
        <w:gridCol w:w="2190"/>
        <w:gridCol w:w="2610"/>
        <w:gridCol w:w="3870"/>
      </w:tblGrid>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U.S. Equity (Compared to S&amp;P 500)</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0.52</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61.80%</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6.79</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71.01%</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0.51</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73.15%</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6.79</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66.97%</w:t>
            </w:r>
          </w:p>
        </w:tc>
      </w:tr>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Non-U.S. Equity (Compared to MSCI EAFE)</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(0.01)</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86.47%</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(0.21)</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85.99%</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(0.01)</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86.47%</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(0.21)</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85.02%</w:t>
            </w:r>
          </w:p>
        </w:tc>
      </w:tr>
    </w:tbl>
    <w:p w:rsidR="005B67A1" w:rsidRDefault="005B67A1">
      <w:pPr>
        <w:spacing w:after="120"/>
        <w:jc w:val="center"/>
      </w:pPr>
      <w:r>
        <w:rPr>
          <w:rFonts w:ascii="Arial" w:hAnsi="Arial" w:cs="Arial"/>
          <w:b/>
          <w:bCs/>
          <w:color w:val="000000"/>
          <w:sz w:val="20"/>
          <w:szCs w:val="20"/>
        </w:rPr>
        <w:br w:type="page"/>
      </w:r>
      <w:r>
        <w:rPr>
          <w:rFonts w:ascii="Arial" w:hAnsi="Arial" w:cs="Arial"/>
          <w:b/>
          <w:bCs/>
          <w:color w:val="000000"/>
          <w:sz w:val="20"/>
          <w:szCs w:val="20"/>
        </w:rPr>
        <w:lastRenderedPageBreak/>
        <w:t>Third Quarter 1990 through Fourth Quarter 1993 (Continued)</w:t>
      </w:r>
    </w:p>
    <w:tbl>
      <w:tblPr>
        <w:tblW w:w="0" w:type="auto"/>
        <w:tblLayout w:type="fixed"/>
        <w:tblCellMar>
          <w:left w:w="30" w:type="dxa"/>
          <w:right w:w="30" w:type="dxa"/>
        </w:tblCellMar>
        <w:tblLook w:val="0000" w:firstRow="0" w:lastRow="0" w:firstColumn="0" w:lastColumn="0" w:noHBand="0" w:noVBand="0"/>
      </w:tblPr>
      <w:tblGrid>
        <w:gridCol w:w="2190"/>
        <w:gridCol w:w="2610"/>
        <w:gridCol w:w="3870"/>
      </w:tblGrid>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U.S. Balanced (Compared to 50/40/10)</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0.83 </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55.78%</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6.43 </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64.16%</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0.87 </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63.01%</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6.43 </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55.49%</w:t>
            </w:r>
          </w:p>
        </w:tc>
      </w:tr>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U.S. Fixed Income (Compared to Lehman Brothers Aggregate Bond Index)</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1.59 </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55.26%</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6.75 </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69.23%</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3.74 </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44.58%</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6.75 </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45.05%</w:t>
            </w:r>
          </w:p>
        </w:tc>
      </w:tr>
    </w:tbl>
    <w:p w:rsidR="005B67A1" w:rsidRDefault="005B67A1"/>
    <w:p w:rsidR="005B67A1" w:rsidRDefault="005B67A1">
      <w:pPr>
        <w:pBdr>
          <w:top w:val="single" w:sz="6" w:space="1" w:color="auto"/>
        </w:pBdr>
        <w:jc w:val="center"/>
        <w:rPr>
          <w:rFonts w:ascii="Arial" w:hAnsi="Arial" w:cs="Arial"/>
          <w:color w:val="000000"/>
          <w:sz w:val="20"/>
          <w:szCs w:val="20"/>
        </w:rPr>
      </w:pPr>
      <w:r>
        <w:rPr>
          <w:rFonts w:ascii="Arial" w:hAnsi="Arial" w:cs="Arial"/>
          <w:b/>
          <w:bCs/>
          <w:color w:val="000000"/>
          <w:sz w:val="20"/>
          <w:szCs w:val="20"/>
        </w:rPr>
        <w:t>Money Managers vs. Their Benchmark Index by Various Measures</w:t>
      </w:r>
    </w:p>
    <w:p w:rsidR="005B67A1" w:rsidRDefault="005B67A1">
      <w:pPr>
        <w:spacing w:after="120"/>
        <w:jc w:val="center"/>
        <w:rPr>
          <w:rFonts w:ascii="Arial" w:hAnsi="Arial" w:cs="Arial"/>
          <w:color w:val="000000"/>
          <w:sz w:val="20"/>
          <w:szCs w:val="20"/>
        </w:rPr>
      </w:pPr>
      <w:r>
        <w:rPr>
          <w:rFonts w:ascii="Arial" w:hAnsi="Arial" w:cs="Arial"/>
          <w:b/>
          <w:bCs/>
          <w:color w:val="000000"/>
          <w:sz w:val="20"/>
          <w:szCs w:val="20"/>
        </w:rPr>
        <w:t>First Quarter 1994 through Second Quarter 1997</w:t>
      </w:r>
    </w:p>
    <w:tbl>
      <w:tblPr>
        <w:tblW w:w="0" w:type="auto"/>
        <w:tblLayout w:type="fixed"/>
        <w:tblCellMar>
          <w:left w:w="30" w:type="dxa"/>
          <w:right w:w="30" w:type="dxa"/>
        </w:tblCellMar>
        <w:tblLook w:val="0000" w:firstRow="0" w:lastRow="0" w:firstColumn="0" w:lastColumn="0" w:noHBand="0" w:noVBand="0"/>
      </w:tblPr>
      <w:tblGrid>
        <w:gridCol w:w="2190"/>
        <w:gridCol w:w="2610"/>
        <w:gridCol w:w="3870"/>
      </w:tblGrid>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U.S. Equity (Compared to S&amp;P 500)</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1.75</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13.60%</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17.73</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27.42%</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3.83</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43.71%</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17.73</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44.61%</w:t>
            </w:r>
          </w:p>
        </w:tc>
      </w:tr>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Non-U.S. Equity (Compared to MSCI EAFE)</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0.79 </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53.62%</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5.77 </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68.12%</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3.15 </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24.15%</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5.77 </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19.81%</w:t>
            </w:r>
          </w:p>
        </w:tc>
      </w:tr>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U.S. Balanced (Compared to 50/40/10)</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1.35 </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31.21%</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9.11 </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44.22%</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2.49 </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64.45%</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9.11 </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70.81%</w:t>
            </w:r>
          </w:p>
        </w:tc>
      </w:tr>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U.S. Fixed Income (Compared to Lehman Brothers Aggregate Bond Index)</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0.26 </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49.29%</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1.30 </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49.45%</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0.49 </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45.68%</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1.30 </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45.84%</w:t>
            </w:r>
          </w:p>
        </w:tc>
      </w:tr>
    </w:tbl>
    <w:p w:rsidR="005B67A1" w:rsidRDefault="005B67A1"/>
    <w:p w:rsidR="005B67A1" w:rsidRDefault="005B67A1">
      <w:pPr>
        <w:pBdr>
          <w:top w:val="single" w:sz="6" w:space="1" w:color="auto"/>
        </w:pBdr>
        <w:jc w:val="center"/>
        <w:rPr>
          <w:rFonts w:ascii="Arial" w:hAnsi="Arial" w:cs="Arial"/>
          <w:color w:val="000000"/>
          <w:sz w:val="20"/>
          <w:szCs w:val="20"/>
        </w:rPr>
      </w:pPr>
      <w:r>
        <w:rPr>
          <w:rFonts w:ascii="Arial" w:hAnsi="Arial" w:cs="Arial"/>
          <w:b/>
          <w:bCs/>
          <w:color w:val="000000"/>
          <w:sz w:val="20"/>
          <w:szCs w:val="20"/>
        </w:rPr>
        <w:br w:type="page"/>
      </w:r>
      <w:r>
        <w:rPr>
          <w:rFonts w:ascii="Arial" w:hAnsi="Arial" w:cs="Arial"/>
          <w:b/>
          <w:bCs/>
          <w:color w:val="000000"/>
          <w:sz w:val="20"/>
          <w:szCs w:val="20"/>
        </w:rPr>
        <w:lastRenderedPageBreak/>
        <w:t>Money Managers vs. Their Benchmark Index by Various Measures</w:t>
      </w:r>
    </w:p>
    <w:p w:rsidR="005B67A1" w:rsidRDefault="005B67A1">
      <w:pPr>
        <w:spacing w:after="120"/>
        <w:jc w:val="center"/>
        <w:rPr>
          <w:rFonts w:ascii="Arial" w:hAnsi="Arial" w:cs="Arial"/>
          <w:color w:val="000000"/>
          <w:sz w:val="20"/>
          <w:szCs w:val="20"/>
        </w:rPr>
      </w:pPr>
      <w:r>
        <w:rPr>
          <w:rFonts w:ascii="Arial" w:hAnsi="Arial" w:cs="Arial"/>
          <w:b/>
          <w:bCs/>
          <w:color w:val="000000"/>
          <w:sz w:val="20"/>
          <w:szCs w:val="20"/>
        </w:rPr>
        <w:t>First Quarter 1987 through First Quarter 1992</w:t>
      </w:r>
    </w:p>
    <w:tbl>
      <w:tblPr>
        <w:tblW w:w="0" w:type="auto"/>
        <w:tblLayout w:type="fixed"/>
        <w:tblCellMar>
          <w:left w:w="30" w:type="dxa"/>
          <w:right w:w="30" w:type="dxa"/>
        </w:tblCellMar>
        <w:tblLook w:val="0000" w:firstRow="0" w:lastRow="0" w:firstColumn="0" w:lastColumn="0" w:noHBand="0" w:noVBand="0"/>
      </w:tblPr>
      <w:tblGrid>
        <w:gridCol w:w="2190"/>
        <w:gridCol w:w="2610"/>
        <w:gridCol w:w="3870"/>
      </w:tblGrid>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U.S. Equity (Compared to S&amp;P 500)</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0.40</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52.02%</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7.40</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59.89%</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0.40</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62.02%</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7.40</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61.57%</w:t>
            </w:r>
          </w:p>
        </w:tc>
      </w:tr>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Non-U.S. Equity (Compared to MSCI EAFE)</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(0.01)</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89.37%</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(0.33)</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89.37%</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(0.02)</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89.37%</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(0.33)</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85.02%</w:t>
            </w:r>
          </w:p>
        </w:tc>
      </w:tr>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U.S. Balanced (Compared to 50/40/10)</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0.54 </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39.88%</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5.14 </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48.84%</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0.64 </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43.35%</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5.14 </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46.53%</w:t>
            </w:r>
          </w:p>
        </w:tc>
      </w:tr>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U.S. Fixed Income (Compared to Lehman Brothers Aggregate Bond Index)</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0.51 </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53.69%</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2.77 </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62.17%</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0.92 </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46.00%</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2.77 </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52.75%</w:t>
            </w:r>
          </w:p>
        </w:tc>
      </w:tr>
    </w:tbl>
    <w:p w:rsidR="005B67A1" w:rsidRDefault="005B67A1"/>
    <w:p w:rsidR="005B67A1" w:rsidRDefault="005B67A1">
      <w:pPr>
        <w:pBdr>
          <w:top w:val="single" w:sz="6" w:space="1" w:color="auto"/>
        </w:pBdr>
        <w:jc w:val="center"/>
        <w:rPr>
          <w:rFonts w:ascii="Arial" w:hAnsi="Arial" w:cs="Arial"/>
          <w:color w:val="000000"/>
          <w:sz w:val="20"/>
          <w:szCs w:val="20"/>
        </w:rPr>
      </w:pPr>
      <w:r>
        <w:rPr>
          <w:rFonts w:ascii="Arial" w:hAnsi="Arial" w:cs="Arial"/>
          <w:b/>
          <w:bCs/>
          <w:color w:val="000000"/>
          <w:sz w:val="20"/>
          <w:szCs w:val="20"/>
        </w:rPr>
        <w:t>Money Managers vs. Their Benchmark Index by Various Measures</w:t>
      </w:r>
    </w:p>
    <w:p w:rsidR="005B67A1" w:rsidRDefault="005B67A1">
      <w:pPr>
        <w:spacing w:after="120"/>
        <w:jc w:val="center"/>
        <w:rPr>
          <w:rFonts w:ascii="Arial" w:hAnsi="Arial" w:cs="Arial"/>
          <w:color w:val="000000"/>
          <w:sz w:val="20"/>
          <w:szCs w:val="20"/>
        </w:rPr>
      </w:pPr>
      <w:r>
        <w:rPr>
          <w:rFonts w:ascii="Arial" w:hAnsi="Arial" w:cs="Arial"/>
          <w:b/>
          <w:bCs/>
          <w:color w:val="000000"/>
          <w:sz w:val="20"/>
          <w:szCs w:val="20"/>
        </w:rPr>
        <w:t>Second Quarter 1992 through Second Quarter 1997</w:t>
      </w:r>
    </w:p>
    <w:tbl>
      <w:tblPr>
        <w:tblW w:w="0" w:type="auto"/>
        <w:tblLayout w:type="fixed"/>
        <w:tblCellMar>
          <w:left w:w="30" w:type="dxa"/>
          <w:right w:w="30" w:type="dxa"/>
        </w:tblCellMar>
        <w:tblLook w:val="0000" w:firstRow="0" w:lastRow="0" w:firstColumn="0" w:lastColumn="0" w:noHBand="0" w:noVBand="0"/>
      </w:tblPr>
      <w:tblGrid>
        <w:gridCol w:w="2190"/>
        <w:gridCol w:w="2610"/>
        <w:gridCol w:w="3870"/>
      </w:tblGrid>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U.S. Equity (Compared to S&amp;P 500)</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1.70</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16.18%</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14.62</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41.91%</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3.55</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42.36%</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14.62</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50.90%</w:t>
            </w:r>
          </w:p>
        </w:tc>
      </w:tr>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Non-U.S. Equity (Compared to MSCI EAFE)</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0.98 </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52.17%</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8.56 </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83.09%</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2.62 </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34.78%</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8.56 </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31.40%</w:t>
            </w:r>
          </w:p>
        </w:tc>
      </w:tr>
    </w:tbl>
    <w:p w:rsidR="005B67A1" w:rsidRDefault="005B67A1"/>
    <w:p w:rsidR="005B67A1" w:rsidRDefault="005B67A1">
      <w:pPr>
        <w:jc w:val="center"/>
      </w:pPr>
      <w:r>
        <w:br w:type="page"/>
      </w:r>
      <w:r>
        <w:rPr>
          <w:rFonts w:ascii="Arial" w:hAnsi="Arial" w:cs="Arial"/>
          <w:b/>
          <w:bCs/>
          <w:color w:val="000000"/>
          <w:sz w:val="20"/>
          <w:szCs w:val="20"/>
        </w:rPr>
        <w:lastRenderedPageBreak/>
        <w:t>Second Quarter 1992 through Second Quarter 1997 (Continued)</w:t>
      </w:r>
    </w:p>
    <w:tbl>
      <w:tblPr>
        <w:tblW w:w="0" w:type="auto"/>
        <w:tblLayout w:type="fixed"/>
        <w:tblCellMar>
          <w:left w:w="30" w:type="dxa"/>
          <w:right w:w="30" w:type="dxa"/>
        </w:tblCellMar>
        <w:tblLook w:val="0000" w:firstRow="0" w:lastRow="0" w:firstColumn="0" w:lastColumn="0" w:noHBand="0" w:noVBand="0"/>
      </w:tblPr>
      <w:tblGrid>
        <w:gridCol w:w="2190"/>
        <w:gridCol w:w="2610"/>
        <w:gridCol w:w="3870"/>
      </w:tblGrid>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U.S. Balanced (Compared to 50/40/10)</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1.56 </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31.79%</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8.67 </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51.45%</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2.37 </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72.25%</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8.67 </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74.28%</w:t>
            </w:r>
          </w:p>
        </w:tc>
      </w:tr>
      <w:tr w:rsidR="005B67A1">
        <w:trPr>
          <w:trHeight w:val="264"/>
        </w:trPr>
        <w:tc>
          <w:tcPr>
            <w:tcW w:w="8670" w:type="dxa"/>
            <w:gridSpan w:val="3"/>
            <w:tcBorders>
              <w:top w:val="single" w:sz="12" w:space="0" w:color="000000"/>
              <w:left w:val="single" w:sz="12" w:space="0" w:color="000000"/>
              <w:bottom w:val="single" w:sz="12" w:space="0" w:color="000000"/>
              <w:right w:val="single" w:sz="12" w:space="0" w:color="000000"/>
            </w:tcBorders>
          </w:tcPr>
          <w:p w:rsidR="005B67A1" w:rsidRDefault="005B67A1">
            <w:pPr>
              <w:jc w:val="center"/>
              <w:rPr>
                <w:rFonts w:ascii="Arial" w:hAnsi="Arial" w:cs="Arial"/>
                <w:b/>
                <w:bCs/>
                <w:color w:val="000000"/>
                <w:sz w:val="16"/>
                <w:szCs w:val="16"/>
              </w:rPr>
            </w:pPr>
            <w:r>
              <w:rPr>
                <w:rFonts w:ascii="Arial" w:hAnsi="Arial" w:cs="Arial"/>
                <w:b/>
                <w:bCs/>
                <w:color w:val="000000"/>
                <w:sz w:val="16"/>
                <w:szCs w:val="16"/>
              </w:rPr>
              <w:t>U.S. Fixed Income (Compared to Lehman Brothers Aggregate Bond Index)</w:t>
            </w:r>
          </w:p>
        </w:tc>
      </w:tr>
      <w:tr w:rsidR="005B67A1">
        <w:trPr>
          <w:trHeight w:val="250"/>
        </w:trPr>
        <w:tc>
          <w:tcPr>
            <w:tcW w:w="2190" w:type="dxa"/>
            <w:tcBorders>
              <w:top w:val="single" w:sz="12" w:space="0" w:color="000000"/>
              <w:left w:val="single" w:sz="12" w:space="0" w:color="000000"/>
              <w:bottom w:val="nil"/>
              <w:right w:val="single" w:sz="12" w:space="0" w:color="000000"/>
            </w:tcBorders>
          </w:tcPr>
          <w:p w:rsidR="005B67A1" w:rsidRDefault="005B67A1">
            <w:pPr>
              <w:rPr>
                <w:rFonts w:ascii="Arial" w:hAnsi="Arial" w:cs="Arial"/>
                <w:color w:val="000000"/>
                <w:sz w:val="16"/>
                <w:szCs w:val="16"/>
              </w:rPr>
            </w:pPr>
            <w:r>
              <w:rPr>
                <w:rFonts w:ascii="Arial" w:hAnsi="Arial" w:cs="Arial"/>
                <w:color w:val="000000"/>
                <w:sz w:val="16"/>
                <w:szCs w:val="16"/>
              </w:rPr>
              <w:t>Measure</w:t>
            </w:r>
          </w:p>
        </w:tc>
        <w:tc>
          <w:tcPr>
            <w:tcW w:w="261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Benchmark Scores</w:t>
            </w:r>
          </w:p>
        </w:tc>
        <w:tc>
          <w:tcPr>
            <w:tcW w:w="3870" w:type="dxa"/>
            <w:tcBorders>
              <w:top w:val="single" w:sz="12" w:space="0" w:color="000000"/>
              <w:left w:val="single" w:sz="12" w:space="0" w:color="000000"/>
              <w:bottom w:val="nil"/>
              <w:right w:val="single" w:sz="12" w:space="0" w:color="000000"/>
            </w:tcBorders>
          </w:tcPr>
          <w:p w:rsidR="005B67A1" w:rsidRDefault="005B67A1">
            <w:pPr>
              <w:jc w:val="center"/>
              <w:rPr>
                <w:rFonts w:ascii="Arial" w:hAnsi="Arial" w:cs="Arial"/>
                <w:color w:val="000000"/>
                <w:sz w:val="16"/>
                <w:szCs w:val="16"/>
              </w:rPr>
            </w:pPr>
            <w:r>
              <w:rPr>
                <w:rFonts w:ascii="Arial" w:hAnsi="Arial" w:cs="Arial"/>
                <w:color w:val="000000"/>
                <w:sz w:val="16"/>
                <w:szCs w:val="16"/>
              </w:rPr>
              <w:t>% of Managers Who Beat Benchmark</w:t>
            </w:r>
          </w:p>
        </w:tc>
      </w:tr>
      <w:tr w:rsidR="005B67A1">
        <w:trPr>
          <w:trHeight w:val="250"/>
        </w:trPr>
        <w:tc>
          <w:tcPr>
            <w:tcW w:w="2190" w:type="dxa"/>
            <w:tcBorders>
              <w:top w:val="single" w:sz="12" w:space="0" w:color="000000"/>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Sharpe Ratio</w:t>
            </w:r>
          </w:p>
        </w:tc>
        <w:tc>
          <w:tcPr>
            <w:tcW w:w="261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0.70 </w:t>
            </w:r>
          </w:p>
        </w:tc>
        <w:tc>
          <w:tcPr>
            <w:tcW w:w="3870" w:type="dxa"/>
            <w:tcBorders>
              <w:top w:val="single" w:sz="12" w:space="0" w:color="000000"/>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55.73%</w:t>
            </w:r>
          </w:p>
        </w:tc>
      </w:tr>
      <w:tr w:rsidR="005B67A1">
        <w:trPr>
          <w:trHeight w:val="250"/>
        </w:trPr>
        <w:tc>
          <w:tcPr>
            <w:tcW w:w="2190" w:type="dxa"/>
            <w:tcBorders>
              <w:top w:val="nil"/>
              <w:left w:val="single" w:sz="12" w:space="0" w:color="000000"/>
              <w:bottom w:val="nil"/>
              <w:right w:val="nil"/>
            </w:tcBorders>
          </w:tcPr>
          <w:p w:rsidR="005B67A1" w:rsidRDefault="005B67A1">
            <w:pPr>
              <w:rPr>
                <w:rFonts w:ascii="Arial" w:hAnsi="Arial" w:cs="Arial"/>
                <w:color w:val="000000"/>
                <w:sz w:val="16"/>
                <w:szCs w:val="16"/>
              </w:rPr>
            </w:pPr>
            <w:r>
              <w:rPr>
                <w:rFonts w:ascii="Arial" w:hAnsi="Arial" w:cs="Arial"/>
                <w:color w:val="000000"/>
                <w:sz w:val="16"/>
                <w:szCs w:val="16"/>
              </w:rPr>
              <w:t>Treynor Ratio</w:t>
            </w:r>
          </w:p>
        </w:tc>
        <w:tc>
          <w:tcPr>
            <w:tcW w:w="261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3.34 </w:t>
            </w:r>
          </w:p>
        </w:tc>
        <w:tc>
          <w:tcPr>
            <w:tcW w:w="3870" w:type="dxa"/>
            <w:tcBorders>
              <w:top w:val="nil"/>
              <w:left w:val="single" w:sz="12" w:space="0" w:color="000000"/>
              <w:bottom w:val="nil"/>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64.68%</w:t>
            </w:r>
          </w:p>
        </w:tc>
      </w:tr>
      <w:tr w:rsidR="005B67A1">
        <w:trPr>
          <w:trHeight w:val="250"/>
        </w:trPr>
        <w:tc>
          <w:tcPr>
            <w:tcW w:w="2190" w:type="dxa"/>
            <w:tcBorders>
              <w:top w:val="nil"/>
              <w:left w:val="single" w:sz="12" w:space="0" w:color="000000"/>
              <w:bottom w:val="nil"/>
              <w:right w:val="nil"/>
            </w:tcBorders>
            <w:shd w:val="solid" w:color="C0C0C0" w:fill="FFFFFF"/>
          </w:tcPr>
          <w:p w:rsidR="005B67A1" w:rsidRDefault="005B67A1">
            <w:pPr>
              <w:rPr>
                <w:rFonts w:ascii="Arial" w:hAnsi="Arial" w:cs="Arial"/>
                <w:color w:val="000000"/>
                <w:sz w:val="16"/>
                <w:szCs w:val="16"/>
              </w:rPr>
            </w:pPr>
            <w:r>
              <w:rPr>
                <w:rFonts w:ascii="Arial" w:hAnsi="Arial" w:cs="Arial"/>
                <w:color w:val="000000"/>
                <w:sz w:val="16"/>
                <w:szCs w:val="16"/>
              </w:rPr>
              <w:t>Semi-Sharpe Ratio</w:t>
            </w:r>
          </w:p>
        </w:tc>
        <w:tc>
          <w:tcPr>
            <w:tcW w:w="261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 xml:space="preserve">1.39 </w:t>
            </w:r>
          </w:p>
        </w:tc>
        <w:tc>
          <w:tcPr>
            <w:tcW w:w="3870" w:type="dxa"/>
            <w:tcBorders>
              <w:top w:val="nil"/>
              <w:left w:val="single" w:sz="12" w:space="0" w:color="000000"/>
              <w:bottom w:val="nil"/>
              <w:right w:val="single" w:sz="12" w:space="0" w:color="000000"/>
            </w:tcBorders>
            <w:shd w:val="solid" w:color="C0C0C0" w:fill="FFFFFF"/>
          </w:tcPr>
          <w:p w:rsidR="005B67A1" w:rsidRDefault="005B67A1">
            <w:pPr>
              <w:jc w:val="right"/>
              <w:rPr>
                <w:rFonts w:ascii="Arial" w:hAnsi="Arial" w:cs="Arial"/>
                <w:color w:val="000000"/>
                <w:sz w:val="16"/>
                <w:szCs w:val="16"/>
              </w:rPr>
            </w:pPr>
            <w:r>
              <w:rPr>
                <w:rFonts w:ascii="Arial" w:hAnsi="Arial" w:cs="Arial"/>
                <w:color w:val="000000"/>
                <w:sz w:val="16"/>
                <w:szCs w:val="16"/>
              </w:rPr>
              <w:t>54.79%</w:t>
            </w:r>
          </w:p>
        </w:tc>
      </w:tr>
      <w:tr w:rsidR="005B67A1">
        <w:trPr>
          <w:trHeight w:val="264"/>
        </w:trPr>
        <w:tc>
          <w:tcPr>
            <w:tcW w:w="2190" w:type="dxa"/>
            <w:tcBorders>
              <w:top w:val="nil"/>
              <w:left w:val="single" w:sz="12" w:space="0" w:color="000000"/>
              <w:bottom w:val="single" w:sz="12" w:space="0" w:color="000000"/>
              <w:right w:val="nil"/>
            </w:tcBorders>
          </w:tcPr>
          <w:p w:rsidR="005B67A1" w:rsidRDefault="005B67A1">
            <w:pPr>
              <w:rPr>
                <w:rFonts w:ascii="Arial" w:hAnsi="Arial" w:cs="Arial"/>
                <w:color w:val="000000"/>
                <w:sz w:val="16"/>
                <w:szCs w:val="16"/>
              </w:rPr>
            </w:pPr>
            <w:r>
              <w:rPr>
                <w:rFonts w:ascii="Arial" w:hAnsi="Arial" w:cs="Arial"/>
                <w:color w:val="000000"/>
                <w:sz w:val="16"/>
                <w:szCs w:val="16"/>
              </w:rPr>
              <w:t>Semi-Treynor Ratio</w:t>
            </w:r>
          </w:p>
        </w:tc>
        <w:tc>
          <w:tcPr>
            <w:tcW w:w="261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 xml:space="preserve">3.34 </w:t>
            </w:r>
          </w:p>
        </w:tc>
        <w:tc>
          <w:tcPr>
            <w:tcW w:w="3870" w:type="dxa"/>
            <w:tcBorders>
              <w:top w:val="nil"/>
              <w:left w:val="single" w:sz="12" w:space="0" w:color="000000"/>
              <w:bottom w:val="single" w:sz="12" w:space="0" w:color="000000"/>
              <w:right w:val="single" w:sz="12" w:space="0" w:color="000000"/>
            </w:tcBorders>
          </w:tcPr>
          <w:p w:rsidR="005B67A1" w:rsidRDefault="005B67A1">
            <w:pPr>
              <w:jc w:val="right"/>
              <w:rPr>
                <w:rFonts w:ascii="Arial" w:hAnsi="Arial" w:cs="Arial"/>
                <w:color w:val="000000"/>
                <w:sz w:val="16"/>
                <w:szCs w:val="16"/>
              </w:rPr>
            </w:pPr>
            <w:r>
              <w:rPr>
                <w:rFonts w:ascii="Arial" w:hAnsi="Arial" w:cs="Arial"/>
                <w:color w:val="000000"/>
                <w:sz w:val="16"/>
                <w:szCs w:val="16"/>
              </w:rPr>
              <w:t>59.81%</w:t>
            </w:r>
          </w:p>
        </w:tc>
      </w:tr>
    </w:tbl>
    <w:p w:rsidR="005B67A1" w:rsidRDefault="005B67A1">
      <w:pPr>
        <w:spacing w:line="480" w:lineRule="auto"/>
        <w:rPr>
          <w:rFonts w:ascii="Arial" w:hAnsi="Arial" w:cs="Arial"/>
        </w:rPr>
      </w:pPr>
    </w:p>
    <w:p w:rsidR="005B67A1" w:rsidRDefault="005B67A1">
      <w:pPr>
        <w:pStyle w:val="Risk-Heading1"/>
      </w:pPr>
      <w:r>
        <w:br w:type="page"/>
      </w:r>
      <w:r>
        <w:lastRenderedPageBreak/>
        <w:t>References</w:t>
      </w:r>
    </w:p>
    <w:p w:rsidR="005B67A1" w:rsidRDefault="005B67A1">
      <w:pPr>
        <w:numPr>
          <w:ilvl w:val="0"/>
          <w:numId w:val="1"/>
        </w:numPr>
        <w:spacing w:after="120"/>
        <w:rPr>
          <w:rFonts w:ascii="Arial" w:hAnsi="Arial" w:cs="Arial"/>
          <w:sz w:val="20"/>
          <w:szCs w:val="20"/>
        </w:rPr>
      </w:pPr>
      <w:r>
        <w:rPr>
          <w:rFonts w:ascii="Arial" w:hAnsi="Arial" w:cs="Arial"/>
          <w:sz w:val="20"/>
          <w:szCs w:val="20"/>
          <w:u w:val="single"/>
        </w:rPr>
        <w:t>Webster's Ninth New Collegiate Dictionary</w:t>
      </w:r>
      <w:r>
        <w:rPr>
          <w:rFonts w:ascii="Arial" w:hAnsi="Arial" w:cs="Arial"/>
          <w:sz w:val="20"/>
          <w:szCs w:val="20"/>
        </w:rPr>
        <w:t>; Merriam-Webster, Inc.; Springfield, MA; 1989; p. 1018</w:t>
      </w:r>
    </w:p>
    <w:p w:rsidR="005B67A1" w:rsidRDefault="005B67A1">
      <w:pPr>
        <w:numPr>
          <w:ilvl w:val="0"/>
          <w:numId w:val="1"/>
        </w:numPr>
        <w:spacing w:after="120"/>
        <w:rPr>
          <w:rFonts w:ascii="Arial" w:hAnsi="Arial" w:cs="Arial"/>
          <w:sz w:val="20"/>
          <w:szCs w:val="20"/>
        </w:rPr>
      </w:pPr>
      <w:r>
        <w:rPr>
          <w:rFonts w:ascii="Arial" w:hAnsi="Arial" w:cs="Arial"/>
          <w:sz w:val="20"/>
          <w:szCs w:val="20"/>
          <w:u w:val="single"/>
        </w:rPr>
        <w:t>The Compact Oxford English Dictionary: Second Edition</w:t>
      </w:r>
      <w:r>
        <w:rPr>
          <w:rFonts w:ascii="Arial" w:hAnsi="Arial" w:cs="Arial"/>
          <w:sz w:val="20"/>
          <w:szCs w:val="20"/>
        </w:rPr>
        <w:t>; Clarendon Press; Oxford; 1991; p. 987</w:t>
      </w:r>
    </w:p>
    <w:p w:rsidR="005B67A1" w:rsidRDefault="005B67A1">
      <w:pPr>
        <w:numPr>
          <w:ilvl w:val="0"/>
          <w:numId w:val="1"/>
        </w:numPr>
        <w:spacing w:after="120"/>
        <w:rPr>
          <w:rFonts w:ascii="Arial" w:hAnsi="Arial" w:cs="Arial"/>
          <w:sz w:val="20"/>
          <w:szCs w:val="20"/>
        </w:rPr>
      </w:pPr>
      <w:r>
        <w:rPr>
          <w:rFonts w:ascii="Arial" w:hAnsi="Arial" w:cs="Arial"/>
          <w:sz w:val="20"/>
          <w:szCs w:val="20"/>
        </w:rPr>
        <w:t xml:space="preserve">Friedman, Jack P.; </w:t>
      </w:r>
      <w:r>
        <w:rPr>
          <w:rFonts w:ascii="Arial" w:hAnsi="Arial" w:cs="Arial"/>
          <w:sz w:val="20"/>
          <w:szCs w:val="20"/>
          <w:u w:val="single"/>
        </w:rPr>
        <w:t>Barron's Business Guides Dictionary of Business Terms, Second Edition</w:t>
      </w:r>
      <w:r>
        <w:rPr>
          <w:rFonts w:ascii="Arial" w:hAnsi="Arial" w:cs="Arial"/>
          <w:sz w:val="20"/>
          <w:szCs w:val="20"/>
        </w:rPr>
        <w:t>; Barron's Educational Series, Inc.; Hauppage, NY; 1994; p. 530</w:t>
      </w:r>
    </w:p>
    <w:p w:rsidR="005B67A1" w:rsidRDefault="005B67A1">
      <w:pPr>
        <w:numPr>
          <w:ilvl w:val="0"/>
          <w:numId w:val="1"/>
        </w:numPr>
        <w:spacing w:after="120"/>
        <w:rPr>
          <w:rFonts w:ascii="Arial" w:hAnsi="Arial" w:cs="Arial"/>
          <w:sz w:val="20"/>
          <w:szCs w:val="20"/>
        </w:rPr>
      </w:pPr>
      <w:r>
        <w:rPr>
          <w:rFonts w:ascii="Arial" w:hAnsi="Arial" w:cs="Arial"/>
          <w:sz w:val="20"/>
          <w:szCs w:val="20"/>
        </w:rPr>
        <w:t xml:space="preserve">Levy, Haim; </w:t>
      </w:r>
      <w:r>
        <w:rPr>
          <w:rFonts w:ascii="Arial" w:hAnsi="Arial" w:cs="Arial"/>
          <w:sz w:val="20"/>
          <w:szCs w:val="20"/>
          <w:u w:val="single"/>
        </w:rPr>
        <w:t>Introduction to Investments</w:t>
      </w:r>
      <w:r>
        <w:rPr>
          <w:rFonts w:ascii="Arial" w:hAnsi="Arial" w:cs="Arial"/>
          <w:sz w:val="20"/>
          <w:szCs w:val="20"/>
        </w:rPr>
        <w:t>; South-Western College Publishing; Cincinnati, OH; 1997; p. 192</w:t>
      </w:r>
    </w:p>
    <w:p w:rsidR="005B67A1" w:rsidRDefault="005B67A1">
      <w:pPr>
        <w:numPr>
          <w:ilvl w:val="0"/>
          <w:numId w:val="1"/>
        </w:numPr>
        <w:spacing w:after="120"/>
        <w:rPr>
          <w:rFonts w:ascii="Arial" w:hAnsi="Arial" w:cs="Arial"/>
          <w:sz w:val="20"/>
          <w:szCs w:val="20"/>
        </w:rPr>
      </w:pPr>
      <w:r>
        <w:rPr>
          <w:rFonts w:ascii="Arial" w:hAnsi="Arial" w:cs="Arial"/>
          <w:sz w:val="20"/>
          <w:szCs w:val="20"/>
        </w:rPr>
        <w:t xml:space="preserve">Reilly, Frank K. and Keith C. Brown; </w:t>
      </w:r>
      <w:r>
        <w:rPr>
          <w:rFonts w:ascii="Arial" w:hAnsi="Arial" w:cs="Arial"/>
          <w:sz w:val="20"/>
          <w:szCs w:val="20"/>
          <w:u w:val="single"/>
        </w:rPr>
        <w:t>Investment Analysis and Portfolio Management: Fifth Edition</w:t>
      </w:r>
      <w:r>
        <w:rPr>
          <w:rFonts w:ascii="Arial" w:hAnsi="Arial" w:cs="Arial"/>
          <w:sz w:val="20"/>
          <w:szCs w:val="20"/>
        </w:rPr>
        <w:t>; The Dryden Press; Fort Worth, TX; 1997; p. 253</w:t>
      </w:r>
    </w:p>
    <w:p w:rsidR="005B67A1" w:rsidRDefault="005B67A1">
      <w:pPr>
        <w:numPr>
          <w:ilvl w:val="0"/>
          <w:numId w:val="1"/>
        </w:numPr>
        <w:spacing w:after="120"/>
        <w:rPr>
          <w:rFonts w:ascii="Arial" w:hAnsi="Arial" w:cs="Arial"/>
          <w:sz w:val="20"/>
          <w:szCs w:val="20"/>
        </w:rPr>
      </w:pPr>
      <w:r>
        <w:rPr>
          <w:rFonts w:ascii="Arial" w:hAnsi="Arial" w:cs="Arial"/>
          <w:sz w:val="20"/>
          <w:szCs w:val="20"/>
        </w:rPr>
        <w:t xml:space="preserve">Brigham, Eugene F. and Louis C. Gapenski; </w:t>
      </w:r>
      <w:r>
        <w:rPr>
          <w:rFonts w:ascii="Arial" w:hAnsi="Arial" w:cs="Arial"/>
          <w:sz w:val="20"/>
          <w:szCs w:val="20"/>
          <w:u w:val="single"/>
        </w:rPr>
        <w:t>Financial Management Theory and Practice: Eighth Edition</w:t>
      </w:r>
      <w:r>
        <w:rPr>
          <w:rFonts w:ascii="Arial" w:hAnsi="Arial" w:cs="Arial"/>
          <w:sz w:val="20"/>
          <w:szCs w:val="20"/>
        </w:rPr>
        <w:t>; The Dryden Press; Forth Worth, TX; 1997, p. 145</w:t>
      </w:r>
    </w:p>
    <w:p w:rsidR="005B67A1" w:rsidRDefault="005B67A1">
      <w:pPr>
        <w:numPr>
          <w:ilvl w:val="0"/>
          <w:numId w:val="1"/>
        </w:numPr>
        <w:spacing w:after="120"/>
        <w:rPr>
          <w:rFonts w:ascii="Arial" w:hAnsi="Arial" w:cs="Arial"/>
          <w:sz w:val="20"/>
          <w:szCs w:val="20"/>
        </w:rPr>
      </w:pPr>
      <w:r>
        <w:rPr>
          <w:rFonts w:ascii="Arial" w:hAnsi="Arial" w:cs="Arial"/>
          <w:sz w:val="20"/>
          <w:szCs w:val="20"/>
        </w:rPr>
        <w:t>Securities and Exchange Commission; "Improving Descriptions of Risk by Mutual Funds and Other Investment Companies"; 17CFR Parts 239, 270, 274; http://www.sec.gov/rules/concept/mfrisk.txt; printed 11/6/97; p. 6 of 26</w:t>
      </w:r>
    </w:p>
    <w:p w:rsidR="005B67A1" w:rsidRDefault="005B67A1">
      <w:pPr>
        <w:numPr>
          <w:ilvl w:val="0"/>
          <w:numId w:val="1"/>
        </w:numPr>
        <w:spacing w:after="120"/>
        <w:rPr>
          <w:rFonts w:ascii="Arial" w:hAnsi="Arial" w:cs="Arial"/>
          <w:sz w:val="20"/>
          <w:szCs w:val="20"/>
        </w:rPr>
      </w:pPr>
      <w:r>
        <w:rPr>
          <w:rFonts w:ascii="Arial" w:hAnsi="Arial" w:cs="Arial"/>
          <w:sz w:val="20"/>
          <w:szCs w:val="20"/>
        </w:rPr>
        <w:t xml:space="preserve">Black, Ken; </w:t>
      </w:r>
      <w:r>
        <w:rPr>
          <w:rFonts w:ascii="Arial" w:hAnsi="Arial" w:cs="Arial"/>
          <w:sz w:val="20"/>
          <w:szCs w:val="20"/>
          <w:u w:val="single"/>
        </w:rPr>
        <w:t>Business Statistics: Contemporary Decision Making</w:t>
      </w:r>
      <w:r>
        <w:rPr>
          <w:rFonts w:ascii="Arial" w:hAnsi="Arial" w:cs="Arial"/>
          <w:sz w:val="20"/>
          <w:szCs w:val="20"/>
        </w:rPr>
        <w:t>; West Publishing Company; St. Paul, MN; 1994; p. 67</w:t>
      </w:r>
    </w:p>
    <w:p w:rsidR="005B67A1" w:rsidRDefault="005B67A1">
      <w:pPr>
        <w:numPr>
          <w:ilvl w:val="0"/>
          <w:numId w:val="1"/>
        </w:numPr>
        <w:spacing w:after="120"/>
        <w:rPr>
          <w:rFonts w:ascii="Arial" w:hAnsi="Arial" w:cs="Arial"/>
          <w:sz w:val="20"/>
          <w:szCs w:val="20"/>
        </w:rPr>
      </w:pPr>
      <w:r>
        <w:rPr>
          <w:rFonts w:ascii="Arial" w:hAnsi="Arial" w:cs="Arial"/>
          <w:sz w:val="20"/>
          <w:szCs w:val="20"/>
        </w:rPr>
        <w:t>Kahn, Ronald N.; "Measuring Information Ratios"; BARRA Newsletter Winter 1996; http://www.barra.com/ResearchPub/BarraPub/mir-n.html; printed 8/15/97; p. 1 of 3</w:t>
      </w:r>
    </w:p>
    <w:p w:rsidR="005B67A1" w:rsidRDefault="005B67A1">
      <w:pPr>
        <w:numPr>
          <w:ilvl w:val="0"/>
          <w:numId w:val="1"/>
        </w:numPr>
        <w:spacing w:after="120"/>
        <w:rPr>
          <w:rFonts w:ascii="Arial" w:hAnsi="Arial" w:cs="Arial"/>
          <w:sz w:val="20"/>
          <w:szCs w:val="20"/>
        </w:rPr>
      </w:pPr>
      <w:r>
        <w:rPr>
          <w:rFonts w:ascii="Arial" w:hAnsi="Arial" w:cs="Arial"/>
          <w:sz w:val="20"/>
          <w:szCs w:val="20"/>
        </w:rPr>
        <w:t>Grinblatt, Mark and Sheridan Titman; "Performance Evaluation: Finance Working Paper sponsored by Capital Management Services"; Anderson Graduate School of Management; University of California; Los Angeles, CA; February 5, 1992; p. 24</w:t>
      </w:r>
    </w:p>
    <w:sectPr w:rsidR="005B67A1">
      <w:headerReference w:type="default" r:id="rId36"/>
      <w:footerReference w:type="default" r:id="rId37"/>
      <w:pgSz w:w="12240" w:h="15840"/>
      <w:pgMar w:top="1440" w:right="1440" w:bottom="1440" w:left="144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E5" w:rsidRDefault="003A58E5">
      <w:r>
        <w:separator/>
      </w:r>
    </w:p>
  </w:endnote>
  <w:endnote w:type="continuationSeparator" w:id="0">
    <w:p w:rsidR="003A58E5" w:rsidRDefault="003A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7A1" w:rsidRDefault="005B6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E5" w:rsidRDefault="003A58E5">
      <w:r>
        <w:separator/>
      </w:r>
    </w:p>
  </w:footnote>
  <w:footnote w:type="continuationSeparator" w:id="0">
    <w:p w:rsidR="003A58E5" w:rsidRDefault="003A58E5">
      <w:r>
        <w:continuationSeparator/>
      </w:r>
    </w:p>
  </w:footnote>
  <w:footnote w:id="1">
    <w:p w:rsidR="005B67A1" w:rsidRDefault="005B67A1">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u w:val="single"/>
        </w:rPr>
        <w:t>Life &amp; Health Basics</w:t>
      </w:r>
      <w:r>
        <w:rPr>
          <w:rFonts w:ascii="Arial" w:hAnsi="Arial" w:cs="Arial"/>
          <w:sz w:val="18"/>
          <w:szCs w:val="18"/>
        </w:rPr>
        <w:t>; Pictorial; Indianapolis, IN; 1991; p. 259</w:t>
      </w:r>
    </w:p>
    <w:p w:rsidR="00AE48CC" w:rsidRDefault="00AE48CC">
      <w:pPr>
        <w:pStyle w:val="FootnoteText"/>
      </w:pPr>
    </w:p>
  </w:footnote>
  <w:footnote w:id="2">
    <w:p w:rsidR="00AE48CC" w:rsidRDefault="005B67A1">
      <w:pPr>
        <w:pStyle w:val="FootnoteText"/>
      </w:pPr>
      <w:r>
        <w:rPr>
          <w:rStyle w:val="FootnoteReference"/>
          <w:rFonts w:ascii="Arial" w:hAnsi="Arial" w:cs="Arial"/>
          <w:sz w:val="18"/>
          <w:szCs w:val="18"/>
        </w:rPr>
        <w:footnoteRef/>
      </w:r>
      <w:r>
        <w:rPr>
          <w:rFonts w:ascii="Arial" w:hAnsi="Arial" w:cs="Arial"/>
          <w:sz w:val="18"/>
          <w:szCs w:val="18"/>
        </w:rPr>
        <w:t xml:space="preserve">  Sharpe, William F., Gordon J. Alexander &amp; Jeffery V. Bailey; </w:t>
      </w:r>
      <w:r>
        <w:rPr>
          <w:rFonts w:ascii="Arial" w:hAnsi="Arial" w:cs="Arial"/>
          <w:sz w:val="18"/>
          <w:szCs w:val="18"/>
          <w:u w:val="single"/>
        </w:rPr>
        <w:t>Investments: Fifth Edition</w:t>
      </w:r>
      <w:r>
        <w:rPr>
          <w:rFonts w:ascii="Arial" w:hAnsi="Arial" w:cs="Arial"/>
          <w:sz w:val="18"/>
          <w:szCs w:val="18"/>
        </w:rPr>
        <w:t>; Prentice Hall; Englewood Cliffs, NJ; 1995; p. 177.</w:t>
      </w:r>
    </w:p>
  </w:footnote>
  <w:footnote w:id="3">
    <w:p w:rsidR="00AE48CC" w:rsidRDefault="005B67A1">
      <w:pPr>
        <w:pStyle w:val="FootnoteText"/>
      </w:pPr>
      <w:r>
        <w:rPr>
          <w:rStyle w:val="FootnoteReference"/>
          <w:rFonts w:ascii="Arial" w:hAnsi="Arial" w:cs="Arial"/>
          <w:sz w:val="18"/>
          <w:szCs w:val="18"/>
        </w:rPr>
        <w:footnoteRef/>
      </w:r>
      <w:r>
        <w:rPr>
          <w:rFonts w:ascii="Arial" w:hAnsi="Arial" w:cs="Arial"/>
          <w:sz w:val="18"/>
          <w:szCs w:val="18"/>
        </w:rPr>
        <w:t xml:space="preserve">  Fama, Eugene F.; </w:t>
      </w:r>
      <w:r>
        <w:rPr>
          <w:rFonts w:ascii="Arial" w:hAnsi="Arial" w:cs="Arial"/>
          <w:sz w:val="18"/>
          <w:szCs w:val="18"/>
          <w:u w:val="single"/>
        </w:rPr>
        <w:t>Foundations of Finance: Portfolio Decisions and Securities Prices</w:t>
      </w:r>
      <w:r>
        <w:rPr>
          <w:rFonts w:ascii="Arial" w:hAnsi="Arial" w:cs="Arial"/>
          <w:sz w:val="18"/>
          <w:szCs w:val="18"/>
        </w:rPr>
        <w:t>; Basic Books, Inc.; New York; 1976; pp. 3-38.</w:t>
      </w:r>
    </w:p>
  </w:footnote>
  <w:footnote w:id="4">
    <w:p w:rsidR="00AE48CC" w:rsidRDefault="005B67A1">
      <w:pPr>
        <w:pStyle w:val="FootnoteText"/>
      </w:pPr>
      <w:r>
        <w:rPr>
          <w:rStyle w:val="FootnoteReference"/>
          <w:rFonts w:ascii="Arial" w:hAnsi="Arial" w:cs="Arial"/>
          <w:sz w:val="18"/>
          <w:szCs w:val="18"/>
        </w:rPr>
        <w:footnoteRef/>
      </w:r>
      <w:r>
        <w:rPr>
          <w:rFonts w:ascii="Arial" w:hAnsi="Arial" w:cs="Arial"/>
          <w:sz w:val="18"/>
          <w:szCs w:val="18"/>
        </w:rPr>
        <w:t xml:space="preserve"> Apodaca Investment Group was selected randomly for inclusion with this study and is in no way affiliated with this research.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7A1" w:rsidRDefault="005B67A1">
    <w:pPr>
      <w:pStyle w:val="Header"/>
      <w:pBdr>
        <w:top w:val="single" w:sz="6" w:space="1" w:color="auto"/>
        <w:left w:val="single" w:sz="6" w:space="1" w:color="auto"/>
        <w:bottom w:val="single" w:sz="6" w:space="1" w:color="auto"/>
        <w:right w:val="single" w:sz="6" w:space="1" w:color="auto"/>
      </w:pBdr>
    </w:pPr>
    <w:r>
      <w:rPr>
        <w:rFonts w:ascii="Arial" w:hAnsi="Arial" w:cs="Arial"/>
        <w:sz w:val="16"/>
        <w:szCs w:val="16"/>
        <w:u w:val="single"/>
      </w:rPr>
      <w:t xml:space="preserve">Risk </w:t>
    </w:r>
    <w:r>
      <w:rPr>
        <w:rFonts w:ascii="Arial" w:hAnsi="Arial" w:cs="Arial"/>
        <w:sz w:val="16"/>
        <w:szCs w:val="16"/>
        <w:u w:val="single"/>
      </w:rPr>
      <w:sym w:font="Symbol" w:char="F0B9"/>
    </w:r>
    <w:r>
      <w:rPr>
        <w:rFonts w:ascii="Arial" w:hAnsi="Arial" w:cs="Arial"/>
        <w:sz w:val="16"/>
        <w:szCs w:val="16"/>
        <w:u w:val="single"/>
      </w:rPr>
      <w:t xml:space="preserve"> Volatility; There </w:t>
    </w:r>
    <w:r>
      <w:rPr>
        <w:rFonts w:ascii="Arial" w:hAnsi="Arial" w:cs="Arial"/>
        <w:i/>
        <w:iCs/>
        <w:sz w:val="16"/>
        <w:szCs w:val="16"/>
        <w:u w:val="single"/>
      </w:rPr>
      <w:t>Is</w:t>
    </w:r>
    <w:r>
      <w:rPr>
        <w:rFonts w:ascii="Arial" w:hAnsi="Arial" w:cs="Arial"/>
        <w:sz w:val="16"/>
        <w:szCs w:val="16"/>
        <w:u w:val="single"/>
      </w:rPr>
      <w:t xml:space="preserve">  A Difference</w:t>
    </w:r>
    <w:r>
      <w:rPr>
        <w:rFonts w:ascii="Arial" w:hAnsi="Arial" w:cs="Arial"/>
        <w:sz w:val="16"/>
        <w:szCs w:val="16"/>
      </w:rPr>
      <w:tab/>
    </w:r>
    <w:r>
      <w:rPr>
        <w:rFonts w:ascii="Arial" w:hAnsi="Arial" w:cs="Arial"/>
        <w:sz w:val="16"/>
        <w:szCs w:val="16"/>
      </w:rPr>
      <w:tab/>
      <w:t>Jason Apollo Voss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1AA3"/>
    <w:multiLevelType w:val="singleLevel"/>
    <w:tmpl w:val="0409000F"/>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readOnly" w:enforcement="1" w:cryptProviderType="rsaAES" w:cryptAlgorithmClass="hash" w:cryptAlgorithmType="typeAny" w:cryptAlgorithmSid="14" w:cryptSpinCount="100000" w:hash="oEEH0dKQr9FU9sQLLzQAsDdPiFaIu/qNXBOemx/L2vaSZCuJoNgZMp+g01ReK6occF7m9t2pKG4pOwB05VF8QA==" w:salt="veT9R1bnlZ1ZecU2oL0hJ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F5"/>
    <w:rsid w:val="003A58E5"/>
    <w:rsid w:val="005B67A1"/>
    <w:rsid w:val="005F38F5"/>
    <w:rsid w:val="00660FF6"/>
    <w:rsid w:val="00963FFA"/>
    <w:rsid w:val="00AE48CC"/>
    <w:rsid w:val="00F8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4C6326-7552-43A2-9D72-B8DEEA3D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BodyText2">
    <w:name w:val="Body Text 2"/>
    <w:basedOn w:val="Normal"/>
    <w:link w:val="BodyText2Char"/>
    <w:uiPriority w:val="99"/>
    <w:pPr>
      <w:spacing w:after="240"/>
      <w:ind w:left="720" w:right="720"/>
    </w:pPr>
    <w:rPr>
      <w:rFonts w:ascii="Arial" w:hAnsi="Arial" w:cs="Arial"/>
    </w:rPr>
  </w:style>
  <w:style w:type="character" w:customStyle="1" w:styleId="BodyText2Char">
    <w:name w:val="Body Text 2 Char"/>
    <w:basedOn w:val="DefaultParagraphFont"/>
    <w:link w:val="BodyText2"/>
    <w:uiPriority w:val="99"/>
    <w:semiHidden/>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customStyle="1" w:styleId="Risk-Heading1">
    <w:name w:val="Risk - Heading 1"/>
    <w:basedOn w:val="Normal"/>
    <w:uiPriority w:val="99"/>
    <w:pPr>
      <w:spacing w:before="120" w:after="120" w:line="360" w:lineRule="auto"/>
      <w:jc w:val="center"/>
    </w:pPr>
    <w:rPr>
      <w:rFonts w:ascii="Arial" w:hAnsi="Arial" w:cs="Arial"/>
      <w:b/>
      <w:bC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5.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36" b="1" i="0" u="none" strike="noStrike" baseline="0">
                <a:solidFill>
                  <a:srgbClr val="000000"/>
                </a:solidFill>
                <a:latin typeface="Arial"/>
                <a:ea typeface="Arial"/>
                <a:cs typeface="Arial"/>
              </a:defRPr>
            </a:pPr>
            <a:r>
              <a:rPr lang="en-US"/>
              <a:t>Exhibit 2: Graphical Illustration of Semi-Standard Deviation</a:t>
            </a:r>
          </a:p>
        </c:rich>
      </c:tx>
      <c:layout>
        <c:manualLayout>
          <c:xMode val="edge"/>
          <c:yMode val="edge"/>
          <c:x val="0.24972253052164262"/>
          <c:y val="1.9575856443719411E-2"/>
        </c:manualLayout>
      </c:layout>
      <c:overlay val="0"/>
      <c:spPr>
        <a:noFill/>
        <a:ln w="13460">
          <a:noFill/>
        </a:ln>
      </c:spPr>
    </c:title>
    <c:autoTitleDeleted val="0"/>
    <c:plotArea>
      <c:layout>
        <c:manualLayout>
          <c:layoutTarget val="inner"/>
          <c:xMode val="edge"/>
          <c:yMode val="edge"/>
          <c:x val="8.4350721420643732E-2"/>
          <c:y val="0.13376835236541598"/>
          <c:w val="0.85793562708102111"/>
          <c:h val="0.79445350734094622"/>
        </c:manualLayout>
      </c:layout>
      <c:scatterChart>
        <c:scatterStyle val="lineMarker"/>
        <c:varyColors val="0"/>
        <c:ser>
          <c:idx val="0"/>
          <c:order val="0"/>
          <c:tx>
            <c:strRef>
              <c:f>'Semi-Std. Illus. Data'!$A$4</c:f>
              <c:strCache>
                <c:ptCount val="1"/>
                <c:pt idx="0">
                  <c:v>T-Bills</c:v>
                </c:pt>
              </c:strCache>
            </c:strRef>
          </c:tx>
          <c:spPr>
            <a:ln w="6730">
              <a:solidFill>
                <a:srgbClr val="000080"/>
              </a:solidFill>
              <a:prstDash val="solid"/>
            </a:ln>
          </c:spPr>
          <c:marker>
            <c:symbol val="circle"/>
            <c:size val="2"/>
            <c:spPr>
              <a:solidFill>
                <a:srgbClr val="000080"/>
              </a:solidFill>
              <a:ln>
                <a:solidFill>
                  <a:srgbClr val="000080"/>
                </a:solidFill>
                <a:prstDash val="solid"/>
              </a:ln>
            </c:spPr>
          </c:marker>
          <c:xVal>
            <c:numRef>
              <c:f>'Semi-Std. Illus. Data'!$B$3:$AQ$3</c:f>
              <c:numCache>
                <c:formatCode>General</c:formatCode>
                <c:ptCount val="42"/>
                <c:pt idx="0">
                  <c:v>1987.1</c:v>
                </c:pt>
                <c:pt idx="1">
                  <c:v>1987.2</c:v>
                </c:pt>
                <c:pt idx="2">
                  <c:v>1987.3</c:v>
                </c:pt>
                <c:pt idx="3">
                  <c:v>1987.4</c:v>
                </c:pt>
                <c:pt idx="4">
                  <c:v>1988.1</c:v>
                </c:pt>
                <c:pt idx="5">
                  <c:v>1988.2</c:v>
                </c:pt>
                <c:pt idx="6">
                  <c:v>1988.3</c:v>
                </c:pt>
                <c:pt idx="7">
                  <c:v>1988.4</c:v>
                </c:pt>
                <c:pt idx="8">
                  <c:v>1989.1</c:v>
                </c:pt>
                <c:pt idx="9">
                  <c:v>1989.2</c:v>
                </c:pt>
                <c:pt idx="10">
                  <c:v>1989.3</c:v>
                </c:pt>
                <c:pt idx="11">
                  <c:v>1989.4</c:v>
                </c:pt>
                <c:pt idx="12">
                  <c:v>1990.1</c:v>
                </c:pt>
                <c:pt idx="13">
                  <c:v>1990.2</c:v>
                </c:pt>
                <c:pt idx="14">
                  <c:v>1990.3</c:v>
                </c:pt>
                <c:pt idx="15">
                  <c:v>1990.4</c:v>
                </c:pt>
                <c:pt idx="16">
                  <c:v>1991.1</c:v>
                </c:pt>
                <c:pt idx="17">
                  <c:v>1991.2</c:v>
                </c:pt>
                <c:pt idx="18">
                  <c:v>1991.3</c:v>
                </c:pt>
                <c:pt idx="19">
                  <c:v>1991.4</c:v>
                </c:pt>
                <c:pt idx="20">
                  <c:v>1992.1</c:v>
                </c:pt>
                <c:pt idx="21">
                  <c:v>1992.2</c:v>
                </c:pt>
                <c:pt idx="22">
                  <c:v>1992.3</c:v>
                </c:pt>
                <c:pt idx="23">
                  <c:v>1992.4</c:v>
                </c:pt>
                <c:pt idx="24">
                  <c:v>1993.1</c:v>
                </c:pt>
                <c:pt idx="25">
                  <c:v>1993.2</c:v>
                </c:pt>
                <c:pt idx="26">
                  <c:v>1993.3</c:v>
                </c:pt>
                <c:pt idx="27">
                  <c:v>1993.4</c:v>
                </c:pt>
                <c:pt idx="28">
                  <c:v>1994.1</c:v>
                </c:pt>
                <c:pt idx="29">
                  <c:v>1994.2</c:v>
                </c:pt>
                <c:pt idx="30">
                  <c:v>1994.3</c:v>
                </c:pt>
                <c:pt idx="31">
                  <c:v>1994.4</c:v>
                </c:pt>
                <c:pt idx="32">
                  <c:v>1995.1</c:v>
                </c:pt>
                <c:pt idx="33">
                  <c:v>1995.2</c:v>
                </c:pt>
                <c:pt idx="34">
                  <c:v>1995.3</c:v>
                </c:pt>
                <c:pt idx="35">
                  <c:v>1995.4</c:v>
                </c:pt>
                <c:pt idx="36">
                  <c:v>1996.1</c:v>
                </c:pt>
                <c:pt idx="37">
                  <c:v>1996.2</c:v>
                </c:pt>
                <c:pt idx="38">
                  <c:v>1996.3</c:v>
                </c:pt>
                <c:pt idx="39">
                  <c:v>1996.4</c:v>
                </c:pt>
                <c:pt idx="40">
                  <c:v>1997.1</c:v>
                </c:pt>
                <c:pt idx="41">
                  <c:v>1997.2</c:v>
                </c:pt>
              </c:numCache>
            </c:numRef>
          </c:xVal>
          <c:yVal>
            <c:numRef>
              <c:f>'Semi-Std. Illus. Data'!$B$4:$AQ$4</c:f>
              <c:numCache>
                <c:formatCode>0.0</c:formatCode>
                <c:ptCount val="42"/>
                <c:pt idx="0">
                  <c:v>1.3157283247999807</c:v>
                </c:pt>
                <c:pt idx="1">
                  <c:v>1.1845667419999817</c:v>
                </c:pt>
                <c:pt idx="2">
                  <c:v>1.3560268504000161</c:v>
                </c:pt>
                <c:pt idx="3">
                  <c:v>1.0436071580000261</c:v>
                </c:pt>
                <c:pt idx="4">
                  <c:v>1.3258135049999842</c:v>
                </c:pt>
                <c:pt idx="5">
                  <c:v>1.457007231999996</c:v>
                </c:pt>
                <c:pt idx="6">
                  <c:v>1.6894134928000071</c:v>
                </c:pt>
                <c:pt idx="7">
                  <c:v>1.7905678009999981</c:v>
                </c:pt>
                <c:pt idx="8">
                  <c:v>2.0032040177000221</c:v>
                </c:pt>
                <c:pt idx="9">
                  <c:v>2.1248667328000126</c:v>
                </c:pt>
                <c:pt idx="10">
                  <c:v>1.9525670071999901</c:v>
                </c:pt>
                <c:pt idx="11">
                  <c:v>1.861375086799999</c:v>
                </c:pt>
                <c:pt idx="12">
                  <c:v>1.8411464671999944</c:v>
                </c:pt>
                <c:pt idx="13">
                  <c:v>1.7804564960000047</c:v>
                </c:pt>
                <c:pt idx="14">
                  <c:v>1.841178654800002</c:v>
                </c:pt>
                <c:pt idx="15">
                  <c:v>1.6186212655999954</c:v>
                </c:pt>
                <c:pt idx="16">
                  <c:v>1.3762484422999766</c:v>
                </c:pt>
                <c:pt idx="17">
                  <c:v>1.2552031819999865</c:v>
                </c:pt>
                <c:pt idx="18">
                  <c:v>1.335895671499987</c:v>
                </c:pt>
                <c:pt idx="19">
                  <c:v>1.0637233214000341</c:v>
                </c:pt>
                <c:pt idx="20">
                  <c:v>0.94294305999997885</c:v>
                </c:pt>
                <c:pt idx="21">
                  <c:v>0.85240927069996086</c:v>
                </c:pt>
                <c:pt idx="22">
                  <c:v>0.74182148719998953</c:v>
                </c:pt>
                <c:pt idx="23">
                  <c:v>0.67149310399998718</c:v>
                </c:pt>
                <c:pt idx="24">
                  <c:v>0.68154015919998923</c:v>
                </c:pt>
                <c:pt idx="25">
                  <c:v>0.71168032249997459</c:v>
                </c:pt>
                <c:pt idx="26">
                  <c:v>0.69158119999999101</c:v>
                </c:pt>
                <c:pt idx="27">
                  <c:v>0.75187355479999773</c:v>
                </c:pt>
                <c:pt idx="28">
                  <c:v>0.74181747839998646</c:v>
                </c:pt>
                <c:pt idx="29">
                  <c:v>0.89263859839998627</c:v>
                </c:pt>
                <c:pt idx="30">
                  <c:v>1.0436071580000261</c:v>
                </c:pt>
                <c:pt idx="31">
                  <c:v>1.0939647952000309</c:v>
                </c:pt>
                <c:pt idx="32">
                  <c:v>1.1846380479999974</c:v>
                </c:pt>
                <c:pt idx="33">
                  <c:v>1.3964489404999947</c:v>
                </c:pt>
                <c:pt idx="34">
                  <c:v>1.3459919009999988</c:v>
                </c:pt>
                <c:pt idx="35">
                  <c:v>1.3258074788000007</c:v>
                </c:pt>
                <c:pt idx="36">
                  <c:v>1.1433270623100178</c:v>
                </c:pt>
                <c:pt idx="37">
                  <c:v>1.2552142283000167</c:v>
                </c:pt>
                <c:pt idx="38">
                  <c:v>1.2350498920999931</c:v>
                </c:pt>
                <c:pt idx="39">
                  <c:v>1.2552152323999977</c:v>
                </c:pt>
                <c:pt idx="40">
                  <c:v>1.1846430679999909</c:v>
                </c:pt>
                <c:pt idx="41">
                  <c:v>1.1846330270000038</c:v>
                </c:pt>
              </c:numCache>
            </c:numRef>
          </c:yVal>
          <c:smooth val="0"/>
        </c:ser>
        <c:ser>
          <c:idx val="1"/>
          <c:order val="1"/>
          <c:tx>
            <c:strRef>
              <c:f>'Semi-Std. Illus. Data'!$A$5</c:f>
              <c:strCache>
                <c:ptCount val="1"/>
                <c:pt idx="0">
                  <c:v>Apodaca Investment Group Upside</c:v>
                </c:pt>
              </c:strCache>
            </c:strRef>
          </c:tx>
          <c:spPr>
            <a:ln w="15143">
              <a:noFill/>
            </a:ln>
          </c:spPr>
          <c:marker>
            <c:symbol val="square"/>
            <c:size val="2"/>
            <c:spPr>
              <a:solidFill>
                <a:srgbClr val="C0C0C0"/>
              </a:solidFill>
              <a:ln>
                <a:solidFill>
                  <a:srgbClr val="C0C0C0"/>
                </a:solidFill>
                <a:prstDash val="solid"/>
              </a:ln>
            </c:spPr>
          </c:marker>
          <c:dPt>
            <c:idx val="1"/>
            <c:marker>
              <c:symbol val="none"/>
            </c:marker>
            <c:bubble3D val="0"/>
          </c:dPt>
          <c:dPt>
            <c:idx val="3"/>
            <c:marker>
              <c:symbol val="none"/>
            </c:marker>
            <c:bubble3D val="0"/>
          </c:dPt>
          <c:dPt>
            <c:idx val="5"/>
            <c:marker>
              <c:symbol val="none"/>
            </c:marker>
            <c:bubble3D val="0"/>
          </c:dPt>
          <c:dPt>
            <c:idx val="6"/>
            <c:marker>
              <c:symbol val="none"/>
            </c:marker>
            <c:bubble3D val="0"/>
          </c:dPt>
          <c:dPt>
            <c:idx val="12"/>
            <c:marker>
              <c:symbol val="none"/>
            </c:marker>
            <c:bubble3D val="0"/>
          </c:dPt>
          <c:dPt>
            <c:idx val="14"/>
            <c:marker>
              <c:symbol val="none"/>
            </c:marker>
            <c:bubble3D val="0"/>
          </c:dPt>
          <c:dPt>
            <c:idx val="17"/>
            <c:marker>
              <c:symbol val="none"/>
            </c:marker>
            <c:bubble3D val="0"/>
          </c:dPt>
          <c:dPt>
            <c:idx val="21"/>
            <c:marker>
              <c:symbol val="none"/>
            </c:marker>
            <c:bubble3D val="0"/>
          </c:dPt>
          <c:dPt>
            <c:idx val="29"/>
            <c:marker>
              <c:symbol val="none"/>
            </c:marker>
            <c:bubble3D val="0"/>
          </c:dPt>
          <c:dPt>
            <c:idx val="35"/>
            <c:marker>
              <c:symbol val="none"/>
            </c:marker>
            <c:bubble3D val="0"/>
          </c:dPt>
          <c:dPt>
            <c:idx val="36"/>
            <c:marker>
              <c:symbol val="none"/>
            </c:marker>
            <c:bubble3D val="0"/>
          </c:dPt>
          <c:dPt>
            <c:idx val="38"/>
            <c:marker>
              <c:symbol val="none"/>
            </c:marker>
            <c:bubble3D val="0"/>
          </c:dPt>
          <c:dPt>
            <c:idx val="39"/>
            <c:marker>
              <c:symbol val="none"/>
            </c:marker>
            <c:bubble3D val="0"/>
          </c:dPt>
          <c:dPt>
            <c:idx val="40"/>
            <c:marker>
              <c:symbol val="none"/>
            </c:marker>
            <c:bubble3D val="0"/>
          </c:dPt>
          <c:xVal>
            <c:numRef>
              <c:f>'Semi-Std. Illus. Data'!$B$3:$AQ$3</c:f>
              <c:numCache>
                <c:formatCode>General</c:formatCode>
                <c:ptCount val="42"/>
                <c:pt idx="0">
                  <c:v>1987.1</c:v>
                </c:pt>
                <c:pt idx="1">
                  <c:v>1987.2</c:v>
                </c:pt>
                <c:pt idx="2">
                  <c:v>1987.3</c:v>
                </c:pt>
                <c:pt idx="3">
                  <c:v>1987.4</c:v>
                </c:pt>
                <c:pt idx="4">
                  <c:v>1988.1</c:v>
                </c:pt>
                <c:pt idx="5">
                  <c:v>1988.2</c:v>
                </c:pt>
                <c:pt idx="6">
                  <c:v>1988.3</c:v>
                </c:pt>
                <c:pt idx="7">
                  <c:v>1988.4</c:v>
                </c:pt>
                <c:pt idx="8">
                  <c:v>1989.1</c:v>
                </c:pt>
                <c:pt idx="9">
                  <c:v>1989.2</c:v>
                </c:pt>
                <c:pt idx="10">
                  <c:v>1989.3</c:v>
                </c:pt>
                <c:pt idx="11">
                  <c:v>1989.4</c:v>
                </c:pt>
                <c:pt idx="12">
                  <c:v>1990.1</c:v>
                </c:pt>
                <c:pt idx="13">
                  <c:v>1990.2</c:v>
                </c:pt>
                <c:pt idx="14">
                  <c:v>1990.3</c:v>
                </c:pt>
                <c:pt idx="15">
                  <c:v>1990.4</c:v>
                </c:pt>
                <c:pt idx="16">
                  <c:v>1991.1</c:v>
                </c:pt>
                <c:pt idx="17">
                  <c:v>1991.2</c:v>
                </c:pt>
                <c:pt idx="18">
                  <c:v>1991.3</c:v>
                </c:pt>
                <c:pt idx="19">
                  <c:v>1991.4</c:v>
                </c:pt>
                <c:pt idx="20">
                  <c:v>1992.1</c:v>
                </c:pt>
                <c:pt idx="21">
                  <c:v>1992.2</c:v>
                </c:pt>
                <c:pt idx="22">
                  <c:v>1992.3</c:v>
                </c:pt>
                <c:pt idx="23">
                  <c:v>1992.4</c:v>
                </c:pt>
                <c:pt idx="24">
                  <c:v>1993.1</c:v>
                </c:pt>
                <c:pt idx="25">
                  <c:v>1993.2</c:v>
                </c:pt>
                <c:pt idx="26">
                  <c:v>1993.3</c:v>
                </c:pt>
                <c:pt idx="27">
                  <c:v>1993.4</c:v>
                </c:pt>
                <c:pt idx="28">
                  <c:v>1994.1</c:v>
                </c:pt>
                <c:pt idx="29">
                  <c:v>1994.2</c:v>
                </c:pt>
                <c:pt idx="30">
                  <c:v>1994.3</c:v>
                </c:pt>
                <c:pt idx="31">
                  <c:v>1994.4</c:v>
                </c:pt>
                <c:pt idx="32">
                  <c:v>1995.1</c:v>
                </c:pt>
                <c:pt idx="33">
                  <c:v>1995.2</c:v>
                </c:pt>
                <c:pt idx="34">
                  <c:v>1995.3</c:v>
                </c:pt>
                <c:pt idx="35">
                  <c:v>1995.4</c:v>
                </c:pt>
                <c:pt idx="36">
                  <c:v>1996.1</c:v>
                </c:pt>
                <c:pt idx="37">
                  <c:v>1996.2</c:v>
                </c:pt>
                <c:pt idx="38">
                  <c:v>1996.3</c:v>
                </c:pt>
                <c:pt idx="39">
                  <c:v>1996.4</c:v>
                </c:pt>
                <c:pt idx="40">
                  <c:v>1997.1</c:v>
                </c:pt>
                <c:pt idx="41">
                  <c:v>1997.2</c:v>
                </c:pt>
              </c:numCache>
            </c:numRef>
          </c:xVal>
          <c:yVal>
            <c:numRef>
              <c:f>'Semi-Std. Illus. Data'!$B$5:$AQ$5</c:f>
              <c:numCache>
                <c:formatCode>General</c:formatCode>
                <c:ptCount val="42"/>
                <c:pt idx="0">
                  <c:v>25.27</c:v>
                </c:pt>
                <c:pt idx="1">
                  <c:v>0</c:v>
                </c:pt>
                <c:pt idx="2">
                  <c:v>4.8499999999999996</c:v>
                </c:pt>
                <c:pt idx="3">
                  <c:v>0</c:v>
                </c:pt>
                <c:pt idx="4">
                  <c:v>2.41</c:v>
                </c:pt>
                <c:pt idx="5">
                  <c:v>0</c:v>
                </c:pt>
                <c:pt idx="6">
                  <c:v>0</c:v>
                </c:pt>
                <c:pt idx="7">
                  <c:v>21.28</c:v>
                </c:pt>
                <c:pt idx="8">
                  <c:v>4.79</c:v>
                </c:pt>
                <c:pt idx="9">
                  <c:v>14.51</c:v>
                </c:pt>
                <c:pt idx="10">
                  <c:v>15.01</c:v>
                </c:pt>
                <c:pt idx="11">
                  <c:v>4.26</c:v>
                </c:pt>
                <c:pt idx="12">
                  <c:v>0</c:v>
                </c:pt>
                <c:pt idx="13">
                  <c:v>8.8000000000000007</c:v>
                </c:pt>
                <c:pt idx="14">
                  <c:v>0</c:v>
                </c:pt>
                <c:pt idx="15">
                  <c:v>11.23</c:v>
                </c:pt>
                <c:pt idx="16">
                  <c:v>27.79</c:v>
                </c:pt>
                <c:pt idx="17">
                  <c:v>0</c:v>
                </c:pt>
                <c:pt idx="18">
                  <c:v>18.809999999999999</c:v>
                </c:pt>
                <c:pt idx="19">
                  <c:v>7.33</c:v>
                </c:pt>
                <c:pt idx="20">
                  <c:v>1.88</c:v>
                </c:pt>
                <c:pt idx="21">
                  <c:v>0</c:v>
                </c:pt>
                <c:pt idx="22">
                  <c:v>9.0500000000000007</c:v>
                </c:pt>
                <c:pt idx="23">
                  <c:v>21.9</c:v>
                </c:pt>
                <c:pt idx="24">
                  <c:v>8.9600000000000009</c:v>
                </c:pt>
                <c:pt idx="25">
                  <c:v>13.65</c:v>
                </c:pt>
                <c:pt idx="26">
                  <c:v>15.44</c:v>
                </c:pt>
                <c:pt idx="27">
                  <c:v>1.86</c:v>
                </c:pt>
                <c:pt idx="28">
                  <c:v>5.4</c:v>
                </c:pt>
                <c:pt idx="29">
                  <c:v>0</c:v>
                </c:pt>
                <c:pt idx="30">
                  <c:v>21.1</c:v>
                </c:pt>
                <c:pt idx="31">
                  <c:v>7.57</c:v>
                </c:pt>
                <c:pt idx="32">
                  <c:v>4.8600000000000003</c:v>
                </c:pt>
                <c:pt idx="33">
                  <c:v>19.739999999999998</c:v>
                </c:pt>
                <c:pt idx="34">
                  <c:v>15</c:v>
                </c:pt>
                <c:pt idx="35">
                  <c:v>0</c:v>
                </c:pt>
                <c:pt idx="36">
                  <c:v>0</c:v>
                </c:pt>
                <c:pt idx="37">
                  <c:v>21.23</c:v>
                </c:pt>
                <c:pt idx="38">
                  <c:v>0</c:v>
                </c:pt>
                <c:pt idx="39">
                  <c:v>0</c:v>
                </c:pt>
                <c:pt idx="40">
                  <c:v>0</c:v>
                </c:pt>
                <c:pt idx="41">
                  <c:v>29.68</c:v>
                </c:pt>
              </c:numCache>
            </c:numRef>
          </c:yVal>
          <c:smooth val="0"/>
        </c:ser>
        <c:ser>
          <c:idx val="2"/>
          <c:order val="2"/>
          <c:tx>
            <c:strRef>
              <c:f>'Semi-Std. Illus. Data'!$A$6</c:f>
              <c:strCache>
                <c:ptCount val="1"/>
                <c:pt idx="0">
                  <c:v>Apodaca Investment Group Downside</c:v>
                </c:pt>
              </c:strCache>
            </c:strRef>
          </c:tx>
          <c:spPr>
            <a:ln w="15143">
              <a:noFill/>
            </a:ln>
          </c:spPr>
          <c:marker>
            <c:symbol val="triangle"/>
            <c:size val="2"/>
            <c:spPr>
              <a:solidFill>
                <a:srgbClr val="000000"/>
              </a:solidFill>
              <a:ln>
                <a:solidFill>
                  <a:srgbClr val="000000"/>
                </a:solidFill>
                <a:prstDash val="solid"/>
              </a:ln>
            </c:spPr>
          </c:marker>
          <c:dPt>
            <c:idx val="0"/>
            <c:marker>
              <c:symbol val="none"/>
            </c:marker>
            <c:bubble3D val="0"/>
          </c:dPt>
          <c:dPt>
            <c:idx val="2"/>
            <c:marker>
              <c:symbol val="none"/>
            </c:marker>
            <c:bubble3D val="0"/>
          </c:dPt>
          <c:dPt>
            <c:idx val="4"/>
            <c:marker>
              <c:symbol val="none"/>
            </c:marker>
            <c:bubble3D val="0"/>
          </c:dPt>
          <c:dPt>
            <c:idx val="7"/>
            <c:marker>
              <c:symbol val="none"/>
            </c:marker>
            <c:bubble3D val="0"/>
          </c:dPt>
          <c:dPt>
            <c:idx val="8"/>
            <c:marker>
              <c:symbol val="none"/>
            </c:marker>
            <c:bubble3D val="0"/>
          </c:dPt>
          <c:dPt>
            <c:idx val="9"/>
            <c:marker>
              <c:symbol val="none"/>
            </c:marker>
            <c:bubble3D val="0"/>
          </c:dPt>
          <c:dPt>
            <c:idx val="10"/>
            <c:marker>
              <c:symbol val="none"/>
            </c:marker>
            <c:bubble3D val="0"/>
          </c:dPt>
          <c:dPt>
            <c:idx val="11"/>
            <c:marker>
              <c:symbol val="none"/>
            </c:marker>
            <c:bubble3D val="0"/>
          </c:dPt>
          <c:dPt>
            <c:idx val="13"/>
            <c:marker>
              <c:symbol val="none"/>
            </c:marker>
            <c:bubble3D val="0"/>
          </c:dPt>
          <c:dPt>
            <c:idx val="15"/>
            <c:marker>
              <c:symbol val="none"/>
            </c:marker>
            <c:bubble3D val="0"/>
          </c:dPt>
          <c:dPt>
            <c:idx val="16"/>
            <c:marker>
              <c:symbol val="none"/>
            </c:marker>
            <c:bubble3D val="0"/>
          </c:dPt>
          <c:dPt>
            <c:idx val="18"/>
            <c:marker>
              <c:symbol val="none"/>
            </c:marker>
            <c:bubble3D val="0"/>
          </c:dPt>
          <c:dPt>
            <c:idx val="19"/>
            <c:marker>
              <c:symbol val="none"/>
            </c:marker>
            <c:bubble3D val="0"/>
          </c:dPt>
          <c:dPt>
            <c:idx val="20"/>
            <c:marker>
              <c:symbol val="none"/>
            </c:marker>
            <c:bubble3D val="0"/>
          </c:dPt>
          <c:dPt>
            <c:idx val="22"/>
            <c:marker>
              <c:symbol val="none"/>
            </c:marker>
            <c:bubble3D val="0"/>
          </c:dPt>
          <c:dPt>
            <c:idx val="23"/>
            <c:marker>
              <c:symbol val="none"/>
            </c:marker>
            <c:bubble3D val="0"/>
          </c:dPt>
          <c:dPt>
            <c:idx val="24"/>
            <c:marker>
              <c:symbol val="none"/>
            </c:marker>
            <c:bubble3D val="0"/>
          </c:dPt>
          <c:dPt>
            <c:idx val="25"/>
            <c:marker>
              <c:symbol val="none"/>
            </c:marker>
            <c:bubble3D val="0"/>
          </c:dPt>
          <c:dPt>
            <c:idx val="26"/>
            <c:marker>
              <c:symbol val="none"/>
            </c:marker>
            <c:bubble3D val="0"/>
          </c:dPt>
          <c:dPt>
            <c:idx val="27"/>
            <c:marker>
              <c:symbol val="none"/>
            </c:marker>
            <c:bubble3D val="0"/>
          </c:dPt>
          <c:dPt>
            <c:idx val="28"/>
            <c:marker>
              <c:symbol val="none"/>
            </c:marker>
            <c:bubble3D val="0"/>
          </c:dPt>
          <c:dPt>
            <c:idx val="30"/>
            <c:marker>
              <c:symbol val="none"/>
            </c:marker>
            <c:bubble3D val="0"/>
          </c:dPt>
          <c:dPt>
            <c:idx val="31"/>
            <c:marker>
              <c:symbol val="none"/>
            </c:marker>
            <c:bubble3D val="0"/>
          </c:dPt>
          <c:dPt>
            <c:idx val="32"/>
            <c:marker>
              <c:symbol val="none"/>
            </c:marker>
            <c:bubble3D val="0"/>
          </c:dPt>
          <c:dPt>
            <c:idx val="33"/>
            <c:marker>
              <c:symbol val="none"/>
            </c:marker>
            <c:bubble3D val="0"/>
          </c:dPt>
          <c:dPt>
            <c:idx val="34"/>
            <c:marker>
              <c:symbol val="none"/>
            </c:marker>
            <c:bubble3D val="0"/>
          </c:dPt>
          <c:dPt>
            <c:idx val="37"/>
            <c:marker>
              <c:symbol val="none"/>
            </c:marker>
            <c:bubble3D val="0"/>
          </c:dPt>
          <c:dPt>
            <c:idx val="41"/>
            <c:marker>
              <c:symbol val="none"/>
            </c:marker>
            <c:bubble3D val="0"/>
          </c:dPt>
          <c:xVal>
            <c:numRef>
              <c:f>'Semi-Std. Illus. Data'!$B$3:$AQ$3</c:f>
              <c:numCache>
                <c:formatCode>General</c:formatCode>
                <c:ptCount val="42"/>
                <c:pt idx="0">
                  <c:v>1987.1</c:v>
                </c:pt>
                <c:pt idx="1">
                  <c:v>1987.2</c:v>
                </c:pt>
                <c:pt idx="2">
                  <c:v>1987.3</c:v>
                </c:pt>
                <c:pt idx="3">
                  <c:v>1987.4</c:v>
                </c:pt>
                <c:pt idx="4">
                  <c:v>1988.1</c:v>
                </c:pt>
                <c:pt idx="5">
                  <c:v>1988.2</c:v>
                </c:pt>
                <c:pt idx="6">
                  <c:v>1988.3</c:v>
                </c:pt>
                <c:pt idx="7">
                  <c:v>1988.4</c:v>
                </c:pt>
                <c:pt idx="8">
                  <c:v>1989.1</c:v>
                </c:pt>
                <c:pt idx="9">
                  <c:v>1989.2</c:v>
                </c:pt>
                <c:pt idx="10">
                  <c:v>1989.3</c:v>
                </c:pt>
                <c:pt idx="11">
                  <c:v>1989.4</c:v>
                </c:pt>
                <c:pt idx="12">
                  <c:v>1990.1</c:v>
                </c:pt>
                <c:pt idx="13">
                  <c:v>1990.2</c:v>
                </c:pt>
                <c:pt idx="14">
                  <c:v>1990.3</c:v>
                </c:pt>
                <c:pt idx="15">
                  <c:v>1990.4</c:v>
                </c:pt>
                <c:pt idx="16">
                  <c:v>1991.1</c:v>
                </c:pt>
                <c:pt idx="17">
                  <c:v>1991.2</c:v>
                </c:pt>
                <c:pt idx="18">
                  <c:v>1991.3</c:v>
                </c:pt>
                <c:pt idx="19">
                  <c:v>1991.4</c:v>
                </c:pt>
                <c:pt idx="20">
                  <c:v>1992.1</c:v>
                </c:pt>
                <c:pt idx="21">
                  <c:v>1992.2</c:v>
                </c:pt>
                <c:pt idx="22">
                  <c:v>1992.3</c:v>
                </c:pt>
                <c:pt idx="23">
                  <c:v>1992.4</c:v>
                </c:pt>
                <c:pt idx="24">
                  <c:v>1993.1</c:v>
                </c:pt>
                <c:pt idx="25">
                  <c:v>1993.2</c:v>
                </c:pt>
                <c:pt idx="26">
                  <c:v>1993.3</c:v>
                </c:pt>
                <c:pt idx="27">
                  <c:v>1993.4</c:v>
                </c:pt>
                <c:pt idx="28">
                  <c:v>1994.1</c:v>
                </c:pt>
                <c:pt idx="29">
                  <c:v>1994.2</c:v>
                </c:pt>
                <c:pt idx="30">
                  <c:v>1994.3</c:v>
                </c:pt>
                <c:pt idx="31">
                  <c:v>1994.4</c:v>
                </c:pt>
                <c:pt idx="32">
                  <c:v>1995.1</c:v>
                </c:pt>
                <c:pt idx="33">
                  <c:v>1995.2</c:v>
                </c:pt>
                <c:pt idx="34">
                  <c:v>1995.3</c:v>
                </c:pt>
                <c:pt idx="35">
                  <c:v>1995.4</c:v>
                </c:pt>
                <c:pt idx="36">
                  <c:v>1996.1</c:v>
                </c:pt>
                <c:pt idx="37">
                  <c:v>1996.2</c:v>
                </c:pt>
                <c:pt idx="38">
                  <c:v>1996.3</c:v>
                </c:pt>
                <c:pt idx="39">
                  <c:v>1996.4</c:v>
                </c:pt>
                <c:pt idx="40">
                  <c:v>1997.1</c:v>
                </c:pt>
                <c:pt idx="41">
                  <c:v>1997.2</c:v>
                </c:pt>
              </c:numCache>
            </c:numRef>
          </c:xVal>
          <c:yVal>
            <c:numRef>
              <c:f>'Semi-Std. Illus. Data'!$B$6:$AQ$6</c:f>
              <c:numCache>
                <c:formatCode>General</c:formatCode>
                <c:ptCount val="42"/>
                <c:pt idx="0">
                  <c:v>0</c:v>
                </c:pt>
                <c:pt idx="1">
                  <c:v>-0.86</c:v>
                </c:pt>
                <c:pt idx="2">
                  <c:v>0</c:v>
                </c:pt>
                <c:pt idx="3">
                  <c:v>-17.149999999999999</c:v>
                </c:pt>
                <c:pt idx="4">
                  <c:v>0</c:v>
                </c:pt>
                <c:pt idx="5">
                  <c:v>-0.74</c:v>
                </c:pt>
                <c:pt idx="6">
                  <c:v>-3.46</c:v>
                </c:pt>
                <c:pt idx="7">
                  <c:v>0</c:v>
                </c:pt>
                <c:pt idx="8">
                  <c:v>0</c:v>
                </c:pt>
                <c:pt idx="9">
                  <c:v>0</c:v>
                </c:pt>
                <c:pt idx="10">
                  <c:v>0</c:v>
                </c:pt>
                <c:pt idx="11">
                  <c:v>0</c:v>
                </c:pt>
                <c:pt idx="12">
                  <c:v>-3.43</c:v>
                </c:pt>
                <c:pt idx="13">
                  <c:v>0</c:v>
                </c:pt>
                <c:pt idx="14">
                  <c:v>-13.23</c:v>
                </c:pt>
                <c:pt idx="15">
                  <c:v>0</c:v>
                </c:pt>
                <c:pt idx="16">
                  <c:v>0</c:v>
                </c:pt>
                <c:pt idx="17">
                  <c:v>-0.87</c:v>
                </c:pt>
                <c:pt idx="18">
                  <c:v>0</c:v>
                </c:pt>
                <c:pt idx="19">
                  <c:v>0</c:v>
                </c:pt>
                <c:pt idx="20">
                  <c:v>0</c:v>
                </c:pt>
                <c:pt idx="21">
                  <c:v>-9.8000000000000007</c:v>
                </c:pt>
                <c:pt idx="22">
                  <c:v>0</c:v>
                </c:pt>
                <c:pt idx="23">
                  <c:v>0</c:v>
                </c:pt>
                <c:pt idx="24">
                  <c:v>0</c:v>
                </c:pt>
                <c:pt idx="25">
                  <c:v>0</c:v>
                </c:pt>
                <c:pt idx="26">
                  <c:v>0</c:v>
                </c:pt>
                <c:pt idx="27">
                  <c:v>0</c:v>
                </c:pt>
                <c:pt idx="28">
                  <c:v>0</c:v>
                </c:pt>
                <c:pt idx="29">
                  <c:v>-11.82</c:v>
                </c:pt>
                <c:pt idx="30">
                  <c:v>0</c:v>
                </c:pt>
                <c:pt idx="31">
                  <c:v>0</c:v>
                </c:pt>
                <c:pt idx="32">
                  <c:v>0</c:v>
                </c:pt>
                <c:pt idx="33">
                  <c:v>0</c:v>
                </c:pt>
                <c:pt idx="34">
                  <c:v>0</c:v>
                </c:pt>
                <c:pt idx="35">
                  <c:v>-2.2200000000000002</c:v>
                </c:pt>
                <c:pt idx="36">
                  <c:v>-5.35</c:v>
                </c:pt>
                <c:pt idx="37">
                  <c:v>0</c:v>
                </c:pt>
                <c:pt idx="38">
                  <c:v>-5.81</c:v>
                </c:pt>
                <c:pt idx="39">
                  <c:v>0.21</c:v>
                </c:pt>
                <c:pt idx="40">
                  <c:v>-20.77</c:v>
                </c:pt>
                <c:pt idx="41">
                  <c:v>0</c:v>
                </c:pt>
              </c:numCache>
            </c:numRef>
          </c:yVal>
          <c:smooth val="0"/>
        </c:ser>
        <c:dLbls>
          <c:showLegendKey val="0"/>
          <c:showVal val="0"/>
          <c:showCatName val="0"/>
          <c:showSerName val="0"/>
          <c:showPercent val="0"/>
          <c:showBubbleSize val="0"/>
        </c:dLbls>
        <c:axId val="342317144"/>
        <c:axId val="342317928"/>
      </c:scatterChart>
      <c:valAx>
        <c:axId val="342317144"/>
        <c:scaling>
          <c:orientation val="minMax"/>
        </c:scaling>
        <c:delete val="0"/>
        <c:axPos val="b"/>
        <c:title>
          <c:tx>
            <c:rich>
              <a:bodyPr/>
              <a:lstStyle/>
              <a:p>
                <a:pPr>
                  <a:defRPr sz="477" b="1" i="0" u="none" strike="noStrike" baseline="0">
                    <a:solidFill>
                      <a:srgbClr val="000000"/>
                    </a:solidFill>
                    <a:latin typeface="Arial"/>
                    <a:ea typeface="Arial"/>
                    <a:cs typeface="Arial"/>
                  </a:defRPr>
                </a:pPr>
                <a:r>
                  <a:rPr lang="en-US"/>
                  <a:t>Quarter</a:t>
                </a:r>
              </a:p>
            </c:rich>
          </c:tx>
          <c:layout>
            <c:manualLayout>
              <c:xMode val="edge"/>
              <c:yMode val="edge"/>
              <c:x val="0.48501664816870144"/>
              <c:y val="0.94453507340946163"/>
            </c:manualLayout>
          </c:layout>
          <c:overlay val="0"/>
          <c:spPr>
            <a:noFill/>
            <a:ln w="13460">
              <a:noFill/>
            </a:ln>
          </c:spPr>
        </c:title>
        <c:numFmt formatCode="General" sourceLinked="1"/>
        <c:majorTickMark val="cross"/>
        <c:minorTickMark val="none"/>
        <c:tickLblPos val="nextTo"/>
        <c:spPr>
          <a:ln w="1683">
            <a:solidFill>
              <a:srgbClr val="000000"/>
            </a:solidFill>
            <a:prstDash val="solid"/>
          </a:ln>
        </c:spPr>
        <c:txPr>
          <a:bodyPr rot="0" vert="horz"/>
          <a:lstStyle/>
          <a:p>
            <a:pPr>
              <a:defRPr sz="530" b="0" i="0" u="none" strike="noStrike" baseline="0">
                <a:solidFill>
                  <a:srgbClr val="000000"/>
                </a:solidFill>
                <a:latin typeface="Arial"/>
                <a:ea typeface="Arial"/>
                <a:cs typeface="Arial"/>
              </a:defRPr>
            </a:pPr>
            <a:endParaRPr lang="en-US"/>
          </a:p>
        </c:txPr>
        <c:crossAx val="342317928"/>
        <c:crosses val="autoZero"/>
        <c:crossBetween val="midCat"/>
      </c:valAx>
      <c:valAx>
        <c:axId val="342317928"/>
        <c:scaling>
          <c:orientation val="minMax"/>
        </c:scaling>
        <c:delete val="0"/>
        <c:axPos val="l"/>
        <c:title>
          <c:tx>
            <c:rich>
              <a:bodyPr/>
              <a:lstStyle/>
              <a:p>
                <a:pPr>
                  <a:defRPr sz="477" b="1" i="0" u="none" strike="noStrike" baseline="0">
                    <a:solidFill>
                      <a:srgbClr val="000000"/>
                    </a:solidFill>
                    <a:latin typeface="Arial"/>
                    <a:ea typeface="Arial"/>
                    <a:cs typeface="Arial"/>
                  </a:defRPr>
                </a:pPr>
                <a:r>
                  <a:rPr lang="en-US"/>
                  <a:t>Return as a Percentage</a:t>
                </a:r>
              </a:p>
            </c:rich>
          </c:tx>
          <c:layout>
            <c:manualLayout>
              <c:xMode val="edge"/>
              <c:yMode val="edge"/>
              <c:x val="1.3318534961154272E-2"/>
              <c:y val="0.41598694942903752"/>
            </c:manualLayout>
          </c:layout>
          <c:overlay val="0"/>
          <c:spPr>
            <a:noFill/>
            <a:ln w="13460">
              <a:noFill/>
            </a:ln>
          </c:spPr>
        </c:title>
        <c:numFmt formatCode="0.0" sourceLinked="1"/>
        <c:majorTickMark val="cross"/>
        <c:minorTickMark val="none"/>
        <c:tickLblPos val="nextTo"/>
        <c:spPr>
          <a:ln w="1683">
            <a:solidFill>
              <a:srgbClr val="000000"/>
            </a:solidFill>
            <a:prstDash val="solid"/>
          </a:ln>
        </c:spPr>
        <c:txPr>
          <a:bodyPr rot="0" vert="horz"/>
          <a:lstStyle/>
          <a:p>
            <a:pPr>
              <a:defRPr sz="530" b="0" i="0" u="none" strike="noStrike" baseline="0">
                <a:solidFill>
                  <a:srgbClr val="000000"/>
                </a:solidFill>
                <a:latin typeface="Arial"/>
                <a:ea typeface="Arial"/>
                <a:cs typeface="Arial"/>
              </a:defRPr>
            </a:pPr>
            <a:endParaRPr lang="en-US"/>
          </a:p>
        </c:txPr>
        <c:crossAx val="342317144"/>
        <c:crosses val="autoZero"/>
        <c:crossBetween val="midCat"/>
      </c:valAx>
      <c:spPr>
        <a:noFill/>
        <a:ln w="6730">
          <a:solidFill>
            <a:srgbClr val="808080"/>
          </a:solidFill>
          <a:prstDash val="solid"/>
        </a:ln>
      </c:spPr>
    </c:plotArea>
    <c:legend>
      <c:legendPos val="r"/>
      <c:layout>
        <c:manualLayout>
          <c:xMode val="edge"/>
          <c:yMode val="edge"/>
          <c:x val="0.37624861265260823"/>
          <c:y val="0.76998368678629692"/>
          <c:w val="0.27302996670366259"/>
          <c:h val="9.951060358890701E-2"/>
        </c:manualLayout>
      </c:layout>
      <c:overlay val="0"/>
      <c:spPr>
        <a:solidFill>
          <a:srgbClr val="FFFFFF"/>
        </a:solidFill>
        <a:ln w="1683">
          <a:solidFill>
            <a:srgbClr val="000000"/>
          </a:solidFill>
          <a:prstDash val="solid"/>
        </a:ln>
      </c:spPr>
      <c:txPr>
        <a:bodyPr/>
        <a:lstStyle/>
        <a:p>
          <a:pPr>
            <a:defRPr sz="437"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53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4078</Words>
  <Characters>23251</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Advanced Corporate Finance</vt:lpstr>
    </vt:vector>
  </TitlesOfParts>
  <Company>The New Way to Office</Company>
  <LinksUpToDate>false</LinksUpToDate>
  <CharactersWithSpaces>27275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Corporate Finance</dc:title>
  <dc:creator>Kinko's</dc:creator>
  <cp:lastModifiedBy>asoapovo</cp:lastModifiedBy>
  <cp:revision>2</cp:revision>
  <cp:lastPrinted>1998-03-29T22:12:00Z</cp:lastPrinted>
  <dcterms:created xsi:type="dcterms:W3CDTF">2015-08-24T21:16:00Z</dcterms:created>
  <dcterms:modified xsi:type="dcterms:W3CDTF">2015-08-24T21:16:00Z</dcterms:modified>
</cp:coreProperties>
</file>